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AE61BD">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176.6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161D5AF5" w:rsidR="00CA7296" w:rsidRDefault="00CA7296" w:rsidP="00CA7296">
      <w:pPr>
        <w:spacing w:line="312" w:lineRule="auto"/>
        <w:ind w:firstLine="420"/>
        <w:rPr>
          <w:rFonts w:ascii="宋体" w:hAnsi="宋体" w:cs="宋体"/>
        </w:rPr>
      </w:pPr>
      <w:r>
        <w:t>周</w:t>
      </w:r>
      <w:r w:rsidR="00E1301A">
        <w:rPr>
          <w:rFonts w:hint="eastAsia"/>
        </w:rPr>
        <w:t>五</w:t>
      </w:r>
      <w:r>
        <w:rPr>
          <w:rFonts w:hint="eastAsia"/>
        </w:rPr>
        <w:t>（</w:t>
      </w:r>
      <w:r w:rsidR="00C74CBC">
        <w:t>10</w:t>
      </w:r>
      <w:r>
        <w:rPr>
          <w:rFonts w:hint="eastAsia"/>
        </w:rPr>
        <w:t>月</w:t>
      </w:r>
      <w:r w:rsidR="00C74CBC">
        <w:rPr>
          <w:rFonts w:hint="eastAsia"/>
        </w:rPr>
        <w:t>1</w:t>
      </w:r>
      <w:r w:rsidR="008B334F">
        <w:t>7</w:t>
      </w:r>
      <w:r>
        <w:rPr>
          <w:rFonts w:hint="eastAsia"/>
        </w:rPr>
        <w:t>日）</w:t>
      </w:r>
      <w:r>
        <w:t>美元兑人民币中间价</w:t>
      </w:r>
      <w:r>
        <w:rPr>
          <w:rFonts w:ascii="宋体" w:hAnsi="宋体" w:cs="宋体"/>
        </w:rPr>
        <w:t>报</w:t>
      </w:r>
      <w:r w:rsidRPr="00076C89">
        <w:rPr>
          <w:rFonts w:ascii="宋体" w:hAnsi="宋体" w:cs="宋体"/>
        </w:rPr>
        <w:t>7.</w:t>
      </w:r>
      <w:r w:rsidR="00994228">
        <w:rPr>
          <w:rFonts w:ascii="宋体" w:hAnsi="宋体" w:cs="宋体"/>
        </w:rPr>
        <w:t>1</w:t>
      </w:r>
      <w:r w:rsidR="00C74CBC">
        <w:rPr>
          <w:rFonts w:ascii="宋体" w:hAnsi="宋体" w:cs="宋体"/>
        </w:rPr>
        <w:t>048</w:t>
      </w:r>
      <w:r>
        <w:rPr>
          <w:rFonts w:ascii="宋体" w:hAnsi="宋体" w:cs="宋体"/>
        </w:rPr>
        <w:t>，</w:t>
      </w:r>
      <w:r w:rsidR="00A70BD1">
        <w:rPr>
          <w:rFonts w:ascii="宋体" w:hAnsi="宋体" w:cs="宋体" w:hint="eastAsia"/>
        </w:rPr>
        <w:t>调</w:t>
      </w:r>
      <w:r w:rsidR="00C74CBC">
        <w:rPr>
          <w:rFonts w:ascii="宋体" w:hAnsi="宋体" w:cs="宋体" w:hint="eastAsia"/>
        </w:rPr>
        <w:t>降</w:t>
      </w:r>
      <w:r w:rsidR="00AE61BD">
        <w:rPr>
          <w:rFonts w:ascii="宋体" w:hAnsi="宋体" w:cs="宋体" w:hint="eastAsia"/>
        </w:rPr>
        <w:t>1</w:t>
      </w:r>
      <w:r w:rsidR="00AE61BD">
        <w:rPr>
          <w:rFonts w:ascii="宋体" w:hAnsi="宋体" w:cs="宋体"/>
        </w:rPr>
        <w:t>9</w:t>
      </w:r>
      <w:r>
        <w:rPr>
          <w:rFonts w:ascii="宋体" w:hAnsi="宋体" w:cs="宋体" w:hint="eastAsia"/>
        </w:rPr>
        <w:t>基点，上周累计调</w:t>
      </w:r>
      <w:r w:rsidR="00C74CBC">
        <w:rPr>
          <w:rFonts w:ascii="宋体" w:hAnsi="宋体" w:cs="宋体" w:hint="eastAsia"/>
        </w:rPr>
        <w:t>降</w:t>
      </w:r>
      <w:r w:rsidR="00AE61BD">
        <w:rPr>
          <w:rFonts w:ascii="宋体" w:hAnsi="宋体" w:cs="宋体"/>
        </w:rPr>
        <w:t>99</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w:t>
      </w:r>
      <w:r w:rsidR="00B7440D">
        <w:rPr>
          <w:rFonts w:ascii="宋体" w:hAnsi="宋体" w:cs="宋体"/>
        </w:rPr>
        <w:t>12</w:t>
      </w:r>
      <w:r>
        <w:rPr>
          <w:rFonts w:ascii="宋体" w:hAnsi="宋体" w:cs="宋体" w:hint="eastAsia"/>
        </w:rPr>
        <w:t>收</w:t>
      </w:r>
      <w:r w:rsidR="00AE61BD">
        <w:rPr>
          <w:rFonts w:ascii="宋体" w:hAnsi="宋体" w:cs="宋体" w:hint="eastAsia"/>
        </w:rPr>
        <w:t>涨</w:t>
      </w:r>
      <w:r w:rsidR="00C10509">
        <w:rPr>
          <w:rFonts w:ascii="宋体" w:hAnsi="宋体" w:cs="宋体" w:hint="eastAsia"/>
        </w:rPr>
        <w:t>0</w:t>
      </w:r>
      <w:r w:rsidR="00C10509">
        <w:rPr>
          <w:rFonts w:ascii="宋体" w:hAnsi="宋体" w:cs="宋体"/>
        </w:rPr>
        <w:t>.</w:t>
      </w:r>
      <w:r w:rsidR="00D07670">
        <w:rPr>
          <w:rFonts w:ascii="宋体" w:hAnsi="宋体" w:cs="宋体"/>
        </w:rPr>
        <w:t>0</w:t>
      </w:r>
      <w:r w:rsidR="00AE61BD">
        <w:rPr>
          <w:rFonts w:ascii="宋体" w:hAnsi="宋体" w:cs="宋体"/>
        </w:rPr>
        <w:t>7</w:t>
      </w:r>
      <w:r>
        <w:rPr>
          <w:rFonts w:ascii="宋体" w:hAnsi="宋体" w:cs="宋体" w:hint="eastAsia"/>
        </w:rPr>
        <w:t>%。新交所美元兑离岸人民币期货主力合约</w:t>
      </w:r>
      <w:r>
        <w:rPr>
          <w:rFonts w:ascii="宋体" w:hAnsi="宋体" w:cs="宋体"/>
        </w:rPr>
        <w:t>UC</w:t>
      </w:r>
      <w:r w:rsidR="00B7440D">
        <w:rPr>
          <w:rFonts w:ascii="宋体" w:hAnsi="宋体" w:cs="宋体"/>
        </w:rPr>
        <w:t>Z</w:t>
      </w:r>
      <w:r>
        <w:rPr>
          <w:rFonts w:ascii="宋体" w:hAnsi="宋体" w:cs="宋体"/>
        </w:rPr>
        <w:t>2</w:t>
      </w:r>
      <w:r>
        <w:rPr>
          <w:rFonts w:ascii="宋体" w:hAnsi="宋体" w:cs="宋体" w:hint="eastAsia"/>
        </w:rPr>
        <w:t>5收</w:t>
      </w:r>
      <w:r w:rsidR="00AE61BD">
        <w:rPr>
          <w:rFonts w:ascii="宋体" w:hAnsi="宋体" w:cs="宋体" w:hint="eastAsia"/>
        </w:rPr>
        <w:t>涨0</w:t>
      </w:r>
      <w:r w:rsidR="00AE61BD">
        <w:rPr>
          <w:rFonts w:ascii="宋体" w:hAnsi="宋体" w:cs="宋体"/>
        </w:rPr>
        <w:t>.05</w:t>
      </w:r>
      <w:r w:rsidR="007844B4">
        <w:rPr>
          <w:rFonts w:ascii="宋体" w:hAnsi="宋体" w:cs="宋体"/>
        </w:rPr>
        <w:t>%</w:t>
      </w:r>
      <w:r>
        <w:rPr>
          <w:rFonts w:ascii="宋体" w:hAnsi="宋体" w:cs="宋体" w:hint="eastAsia"/>
        </w:rPr>
        <w:t>。</w:t>
      </w:r>
    </w:p>
    <w:p w14:paraId="2A8620FC" w14:textId="51DF532F"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787BFA">
        <w:t>1</w:t>
      </w:r>
      <w:r w:rsidR="00671C9F">
        <w:t>2</w:t>
      </w:r>
      <w:r w:rsidR="00AE61BD">
        <w:t>65</w:t>
      </w:r>
      <w:r>
        <w:t>，</w:t>
      </w:r>
      <w:r>
        <w:rPr>
          <w:rFonts w:hint="eastAsia"/>
        </w:rPr>
        <w:t>美元兑离岸人民币收报</w:t>
      </w:r>
      <w:r>
        <w:rPr>
          <w:rFonts w:hint="eastAsia"/>
        </w:rPr>
        <w:t>7</w:t>
      </w:r>
      <w:r>
        <w:t>.</w:t>
      </w:r>
      <w:r w:rsidR="001938CF">
        <w:t>1</w:t>
      </w:r>
      <w:r w:rsidR="00AE61BD">
        <w:t>269</w:t>
      </w:r>
      <w:r>
        <w:rPr>
          <w:rFonts w:hint="eastAsia"/>
        </w:rPr>
        <w:t>，在当周</w:t>
      </w:r>
      <w:r>
        <w:t>分别</w:t>
      </w:r>
      <w:r w:rsidR="0009578B">
        <w:rPr>
          <w:rFonts w:hint="eastAsia"/>
        </w:rPr>
        <w:t>上</w:t>
      </w:r>
      <w:r w:rsidR="00F76960">
        <w:rPr>
          <w:rFonts w:hint="eastAsia"/>
        </w:rPr>
        <w:t>调</w:t>
      </w:r>
      <w:r w:rsidR="00AE61BD">
        <w:t>33</w:t>
      </w:r>
      <w:r>
        <w:t>和</w:t>
      </w:r>
      <w:r w:rsidR="00AE61BD">
        <w:rPr>
          <w:rFonts w:hint="eastAsia"/>
        </w:rPr>
        <w:t>下</w:t>
      </w:r>
      <w:r w:rsidR="003576ED">
        <w:rPr>
          <w:rFonts w:hint="eastAsia"/>
        </w:rPr>
        <w:t>调</w:t>
      </w:r>
      <w:r w:rsidR="00AE61BD">
        <w:rPr>
          <w:rFonts w:hint="eastAsia"/>
        </w:rPr>
        <w:t>2</w:t>
      </w:r>
      <w:r w:rsidR="00AE61BD">
        <w:t>09</w:t>
      </w:r>
      <w:r>
        <w:rPr>
          <w:rFonts w:hint="eastAsia"/>
        </w:rPr>
        <w:t>个基点</w:t>
      </w:r>
      <w:r>
        <w:t>。欧元兑人民币报</w:t>
      </w:r>
      <w:r w:rsidR="00F64EF4">
        <w:t>8</w:t>
      </w:r>
      <w:r w:rsidR="003576ED">
        <w:t>.</w:t>
      </w:r>
      <w:r w:rsidR="00AE61BD">
        <w:t>3415</w:t>
      </w:r>
      <w:r>
        <w:t>、英镑兑人民币报</w:t>
      </w:r>
      <w:r w:rsidR="00C66DB1">
        <w:t>9</w:t>
      </w:r>
      <w:r w:rsidR="001F0839">
        <w:t>.</w:t>
      </w:r>
      <w:r w:rsidR="00AE61BD">
        <w:t>5668</w:t>
      </w:r>
      <w:r w:rsidR="00787BFA">
        <w:rPr>
          <w:rFonts w:hint="eastAsia"/>
        </w:rPr>
        <w:t>、</w:t>
      </w:r>
      <w:r w:rsidR="000959E1">
        <w:rPr>
          <w:rFonts w:hint="eastAsia"/>
        </w:rPr>
        <w:t>日元</w:t>
      </w:r>
      <w:r>
        <w:t>兑</w:t>
      </w:r>
      <w:r w:rsidR="000959E1">
        <w:rPr>
          <w:rFonts w:hint="eastAsia"/>
        </w:rPr>
        <w:t>人民币</w:t>
      </w:r>
      <w:r>
        <w:t>报</w:t>
      </w:r>
      <w:r w:rsidR="001938CF">
        <w:t>4</w:t>
      </w:r>
      <w:r w:rsidR="0009578B">
        <w:t>.7</w:t>
      </w:r>
      <w:r w:rsidR="00AE61BD">
        <w:t>572</w:t>
      </w:r>
      <w:r w:rsidR="000959E1">
        <w:rPr>
          <w:rFonts w:hint="eastAsia"/>
        </w:rPr>
        <w:t>、</w:t>
      </w:r>
      <w:r>
        <w:t>澳元兑人民币报</w:t>
      </w:r>
      <w:r>
        <w:t>4</w:t>
      </w:r>
      <w:r w:rsidR="006B50D4">
        <w:t>.</w:t>
      </w:r>
      <w:r w:rsidR="006466A9">
        <w:t>6</w:t>
      </w:r>
      <w:r w:rsidR="00AE61BD">
        <w:t>068</w:t>
      </w:r>
      <w:r>
        <w:rPr>
          <w:rFonts w:hint="eastAsia"/>
        </w:rPr>
        <w:t>，在当</w:t>
      </w:r>
      <w:r>
        <w:t>周分别</w:t>
      </w:r>
      <w:r w:rsidR="00AE61BD">
        <w:rPr>
          <w:rFonts w:hint="eastAsia"/>
        </w:rPr>
        <w:t>升</w:t>
      </w:r>
      <w:r w:rsidR="00AE61BD">
        <w:rPr>
          <w:rFonts w:hint="eastAsia"/>
        </w:rPr>
        <w:t>9</w:t>
      </w:r>
      <w:r w:rsidR="00AE61BD">
        <w:t>31</w:t>
      </w:r>
      <w:r>
        <w:t>、</w:t>
      </w:r>
      <w:r w:rsidR="00AE61BD">
        <w:rPr>
          <w:rFonts w:hint="eastAsia"/>
        </w:rPr>
        <w:t>升</w:t>
      </w:r>
      <w:r w:rsidR="00AE61BD">
        <w:rPr>
          <w:rFonts w:hint="eastAsia"/>
        </w:rPr>
        <w:t>1</w:t>
      </w:r>
      <w:r w:rsidR="00AE61BD">
        <w:t>128</w:t>
      </w:r>
      <w:r>
        <w:rPr>
          <w:rFonts w:hint="eastAsia"/>
        </w:rPr>
        <w:t>、</w:t>
      </w:r>
      <w:r w:rsidR="00AE61BD">
        <w:rPr>
          <w:rFonts w:hint="eastAsia"/>
        </w:rPr>
        <w:t>升</w:t>
      </w:r>
      <w:r w:rsidR="00AE61BD">
        <w:rPr>
          <w:rFonts w:hint="eastAsia"/>
        </w:rPr>
        <w:t>5</w:t>
      </w:r>
      <w:r w:rsidR="00AE61BD">
        <w:t>72</w:t>
      </w:r>
      <w:r>
        <w:t>和</w:t>
      </w:r>
      <w:r w:rsidR="006466A9">
        <w:rPr>
          <w:rFonts w:hint="eastAsia"/>
        </w:rPr>
        <w:t>降</w:t>
      </w:r>
      <w:r w:rsidR="00AE61BD">
        <w:t>606</w:t>
      </w:r>
      <w:r>
        <w:rPr>
          <w:rFonts w:hint="eastAsia"/>
        </w:rPr>
        <w:t>个基点</w:t>
      </w:r>
      <w:r>
        <w:t>。</w:t>
      </w:r>
    </w:p>
    <w:p w14:paraId="76AC2601" w14:textId="44B7A20E" w:rsidR="00CA7296" w:rsidRDefault="007E1257" w:rsidP="00CA7296">
      <w:pPr>
        <w:spacing w:line="312" w:lineRule="auto"/>
        <w:ind w:firstLine="420"/>
      </w:pPr>
      <w:r>
        <w:rPr>
          <w:rFonts w:hint="eastAsia"/>
        </w:rPr>
        <w:t>上周</w:t>
      </w:r>
      <w:r w:rsidRPr="007E1257">
        <w:rPr>
          <w:rFonts w:hint="eastAsia"/>
        </w:rPr>
        <w:t>央行公开市场累计进行了</w:t>
      </w:r>
      <w:r w:rsidR="00FD29C8" w:rsidRPr="00FD29C8">
        <w:rPr>
          <w:rFonts w:hint="eastAsia"/>
        </w:rPr>
        <w:t>6731</w:t>
      </w:r>
      <w:r w:rsidR="00FD29C8" w:rsidRPr="00FD29C8">
        <w:rPr>
          <w:rFonts w:hint="eastAsia"/>
        </w:rPr>
        <w:t>亿元</w:t>
      </w:r>
      <w:r w:rsidR="00FD29C8" w:rsidRPr="00FD29C8">
        <w:rPr>
          <w:rFonts w:hint="eastAsia"/>
        </w:rPr>
        <w:t>7</w:t>
      </w:r>
      <w:r w:rsidR="00FD29C8" w:rsidRPr="00FD29C8">
        <w:rPr>
          <w:rFonts w:hint="eastAsia"/>
        </w:rPr>
        <w:t>天期逆回购操作，</w:t>
      </w:r>
      <w:r w:rsidR="00FD29C8">
        <w:rPr>
          <w:rFonts w:hint="eastAsia"/>
        </w:rPr>
        <w:t>当</w:t>
      </w:r>
      <w:r w:rsidR="00FD29C8" w:rsidRPr="00FD29C8">
        <w:rPr>
          <w:rFonts w:hint="eastAsia"/>
        </w:rPr>
        <w:t>周央行公开市场有</w:t>
      </w:r>
      <w:r w:rsidR="00FD29C8" w:rsidRPr="00FD29C8">
        <w:rPr>
          <w:rFonts w:hint="eastAsia"/>
        </w:rPr>
        <w:t>10210</w:t>
      </w:r>
      <w:r w:rsidR="00FD29C8" w:rsidRPr="00FD29C8">
        <w:rPr>
          <w:rFonts w:hint="eastAsia"/>
        </w:rPr>
        <w:t>亿元逆回购到期，因此净回笼</w:t>
      </w:r>
      <w:r w:rsidR="00FD29C8" w:rsidRPr="00FD29C8">
        <w:rPr>
          <w:rFonts w:hint="eastAsia"/>
        </w:rPr>
        <w:t>3479</w:t>
      </w:r>
      <w:r w:rsidR="00FD29C8" w:rsidRPr="00FD29C8">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36A5755" w14:textId="560C9C6C" w:rsidR="003265E6" w:rsidRPr="00D07670" w:rsidRDefault="00CA7296" w:rsidP="0011314B">
      <w:pPr>
        <w:spacing w:line="312" w:lineRule="auto"/>
        <w:ind w:firstLine="420"/>
        <w:rPr>
          <w:rFonts w:ascii="宋体" w:hAnsi="宋体"/>
        </w:rPr>
      </w:pPr>
      <w:r w:rsidRPr="0086476E">
        <w:rPr>
          <w:rFonts w:ascii="宋体" w:hAnsi="宋体"/>
        </w:rPr>
        <w:t>1</w:t>
      </w:r>
      <w:r w:rsidR="00626AF8">
        <w:rPr>
          <w:rFonts w:ascii="宋体" w:hAnsi="宋体" w:hint="eastAsia"/>
        </w:rPr>
        <w:t>、</w:t>
      </w:r>
      <w:r w:rsidR="00AE61BD" w:rsidRPr="00E357DF">
        <w:rPr>
          <w:rFonts w:ascii="宋体" w:hAnsi="宋体" w:hint="eastAsia"/>
        </w:rPr>
        <w:t>央行行长潘功胜在出席二十国集团（</w:t>
      </w:r>
      <w:r w:rsidR="00AE61BD" w:rsidRPr="00E357DF">
        <w:rPr>
          <w:rFonts w:ascii="宋体" w:hAnsi="宋体"/>
        </w:rPr>
        <w:t>G20）财长和央行行长会议时表示，将继续实施适度宽松的货币政策，综合运用多种货币政策工具，保证流动性充裕，支持提振消费、扩大有效投资，巩固和增强经济向好态势，维护金融市场稳定运行，保持人民币汇率在合理均衡水平上的基本稳定。</w:t>
      </w:r>
    </w:p>
    <w:p w14:paraId="3316BE34" w14:textId="1E40C598" w:rsidR="00785749" w:rsidRPr="0011314B" w:rsidRDefault="00CA7296" w:rsidP="0011314B">
      <w:pPr>
        <w:spacing w:line="312" w:lineRule="auto"/>
        <w:ind w:firstLine="420"/>
        <w:rPr>
          <w:rFonts w:ascii="宋体" w:hAnsi="宋体"/>
        </w:rPr>
      </w:pPr>
      <w:r w:rsidRPr="0086476E">
        <w:rPr>
          <w:rFonts w:ascii="宋体" w:hAnsi="宋体" w:hint="eastAsia"/>
        </w:rPr>
        <w:t>2、</w:t>
      </w:r>
      <w:r w:rsidR="00AE61BD" w:rsidRPr="00CD4189">
        <w:rPr>
          <w:rFonts w:ascii="宋体" w:hAnsi="宋体" w:hint="eastAsia"/>
        </w:rPr>
        <w:t>商务部召开例行新闻发布会，回应多个热点问题。就中美近期是否举行新一轮经贸会谈，中方对于相互尊重基础上的平等磋商持开放态度。对于中国的稀土出口管制措施，中方将在实施过程中不断优化许可流程，有效促进合规贸易。就荷兰当局干预闻泰科技子公司安世半导体运营，中方将采取必要措施，坚决维护中国企业合法权益。另外，商务部将适时推出新的稳外贸政策。</w:t>
      </w:r>
    </w:p>
    <w:p w14:paraId="63094CBE" w14:textId="1835FCDB" w:rsidR="00BC01B8" w:rsidRPr="00AC09FC" w:rsidRDefault="00BC01B8" w:rsidP="0086476E">
      <w:pPr>
        <w:spacing w:line="312" w:lineRule="auto"/>
        <w:ind w:firstLine="420"/>
        <w:rPr>
          <w:rFonts w:ascii="宋体" w:hAnsi="宋体"/>
        </w:rPr>
      </w:pPr>
      <w:r w:rsidRPr="00CA1C69">
        <w:rPr>
          <w:rFonts w:ascii="宋体" w:hAnsi="宋体"/>
        </w:rPr>
        <w:t>3</w:t>
      </w:r>
      <w:r w:rsidRPr="00CA1C69">
        <w:rPr>
          <w:rFonts w:ascii="宋体" w:hAnsi="宋体" w:hint="eastAsia"/>
        </w:rPr>
        <w:t>、</w:t>
      </w:r>
      <w:r w:rsidR="00AE61BD" w:rsidRPr="006A7522">
        <w:rPr>
          <w:rFonts w:ascii="宋体" w:hAnsi="宋体" w:hint="eastAsia"/>
        </w:rPr>
        <w:t>中美双方即将重返谈判桌。美国总统特朗普称，美方将稀土、芬太尼和大豆列为将对中方提出的三大问题。外交部发言人郭嘉昆对此回应称，中方在处理中美经贸问题上的立场是一贯、明确的。关税战、贸易战不符合任何一方利益，双方应在平等、尊重、互惠的基础上协商解决有关问题。</w:t>
      </w:r>
    </w:p>
    <w:p w14:paraId="630B9579" w14:textId="2DEED7C1" w:rsidR="00BC01B8" w:rsidRPr="00F44D25" w:rsidRDefault="00BC01B8" w:rsidP="001F0839">
      <w:pPr>
        <w:spacing w:line="312" w:lineRule="auto"/>
        <w:ind w:firstLine="420"/>
        <w:rPr>
          <w:rFonts w:ascii="宋体" w:hAnsi="宋体"/>
        </w:rPr>
      </w:pPr>
      <w:r w:rsidRPr="0086476E">
        <w:rPr>
          <w:rFonts w:ascii="宋体" w:hAnsi="宋体" w:hint="eastAsia"/>
        </w:rPr>
        <w:lastRenderedPageBreak/>
        <w:t>4、</w:t>
      </w:r>
      <w:r w:rsidR="00AE61BD" w:rsidRPr="00E357DF">
        <w:rPr>
          <w:rFonts w:ascii="宋体" w:hAnsi="宋体" w:hint="eastAsia"/>
        </w:rPr>
        <w:t>白宫管理和预算办公室主任沃特表示，因“停摆”持续，特朗普政府将再冻结约</w:t>
      </w:r>
      <w:r w:rsidR="00AE61BD" w:rsidRPr="00E357DF">
        <w:rPr>
          <w:rFonts w:ascii="宋体" w:hAnsi="宋体"/>
        </w:rPr>
        <w:t>110亿美元的基础设施项目资金，主要涉及民主党执政城市。此外，白宫经济顾问哈塞特表示，如果政府停摆持续到本周末之后，预计特朗普将加大行动力度。在谈到美联储时，哈塞特称预计三次降息只是一个开始。</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3456D4D6" w:rsidR="00CA7296" w:rsidRDefault="00AE61BD"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022FDD87" wp14:editId="26B7DA46">
            <wp:extent cx="3317358" cy="1954251"/>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43238" cy="1969497"/>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214D1139" w:rsidR="00CA7296" w:rsidRDefault="00AE61BD" w:rsidP="00CA7296">
      <w:pPr>
        <w:spacing w:line="360" w:lineRule="auto"/>
        <w:jc w:val="center"/>
        <w:rPr>
          <w:rFonts w:ascii="宋体" w:hAnsi="宋体"/>
          <w:sz w:val="18"/>
          <w:szCs w:val="18"/>
        </w:rPr>
      </w:pPr>
      <w:r>
        <w:rPr>
          <w:noProof/>
        </w:rPr>
        <w:drawing>
          <wp:inline distT="0" distB="0" distL="0" distR="0" wp14:anchorId="249A6A36" wp14:editId="1FDB71EE">
            <wp:extent cx="4976037" cy="2818117"/>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78264" cy="2819378"/>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50DC0406" w:rsidR="00CA7296" w:rsidRDefault="00AE61BD" w:rsidP="00CA7296">
      <w:pPr>
        <w:spacing w:line="360" w:lineRule="auto"/>
        <w:jc w:val="center"/>
        <w:rPr>
          <w:rFonts w:ascii="宋体" w:hAnsi="宋体"/>
          <w:sz w:val="18"/>
          <w:szCs w:val="18"/>
        </w:rPr>
      </w:pPr>
      <w:r>
        <w:rPr>
          <w:noProof/>
        </w:rPr>
        <w:drawing>
          <wp:inline distT="0" distB="0" distL="0" distR="0" wp14:anchorId="23934BC6" wp14:editId="00B34748">
            <wp:extent cx="3625702" cy="2076067"/>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74620" cy="2104077"/>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0C43DB32" w:rsidR="00CA7296" w:rsidRDefault="00AE61BD" w:rsidP="00CA7296">
      <w:pPr>
        <w:jc w:val="center"/>
      </w:pPr>
      <w:r>
        <w:rPr>
          <w:noProof/>
        </w:rPr>
        <w:drawing>
          <wp:inline distT="0" distB="0" distL="0" distR="0" wp14:anchorId="223CB939" wp14:editId="641A3E8A">
            <wp:extent cx="4976037" cy="2816320"/>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79566" cy="2818317"/>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42FD7768" w:rsidR="00CA7296" w:rsidRDefault="00AE61BD" w:rsidP="00CA7296">
      <w:pPr>
        <w:jc w:val="center"/>
      </w:pPr>
      <w:r>
        <w:rPr>
          <w:noProof/>
        </w:rPr>
        <w:drawing>
          <wp:inline distT="0" distB="0" distL="0" distR="0" wp14:anchorId="10DAAFB8" wp14:editId="0F826AB9">
            <wp:extent cx="3519377" cy="2096650"/>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42104" cy="2110189"/>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40AE78CC">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19FC090B"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78B3AA48" w14:textId="01C91DB2" w:rsidR="00351614" w:rsidRPr="00253827" w:rsidRDefault="00AE61BD" w:rsidP="00351614">
      <w:pPr>
        <w:spacing w:line="312" w:lineRule="auto"/>
        <w:ind w:firstLine="420"/>
        <w:rPr>
          <w:rFonts w:ascii="宋体" w:hAnsi="宋体" w:cs="宋体"/>
        </w:rPr>
      </w:pPr>
      <w:r w:rsidRPr="00AE61BD">
        <w:rPr>
          <w:rFonts w:ascii="宋体" w:hAnsi="宋体" w:cs="宋体" w:hint="eastAsia"/>
        </w:rPr>
        <w:t>美国政府“停摆”第三周，影响不断扩大，美元币值受挫。</w:t>
      </w:r>
      <w:r w:rsidR="007C5819" w:rsidRPr="007C5819">
        <w:rPr>
          <w:rFonts w:ascii="宋体" w:hAnsi="宋体" w:cs="宋体" w:hint="eastAsia"/>
        </w:rPr>
        <w:t>美联储经济“褐皮书”强调劳动力需求延续疲软，提振市场降息预期。特朗普释放关税战升温信号，但考虑到其在关税问题上立场反复，本轮关税局势实质性升温的可能性相对有限。主席鲍威尔此前表示未来数月可能停止缩表，并释放本月再次降息25基点的信号，整体延续鸽派基调，就业市场表现仍为后续关注的重点。近期，叠加美政府停摆格局持续，削弱美元相对优势。</w:t>
      </w:r>
    </w:p>
    <w:p w14:paraId="455C826C" w14:textId="666A325E" w:rsidR="00BF7D0E" w:rsidRPr="00253827" w:rsidRDefault="00A867D6" w:rsidP="009807E3">
      <w:pPr>
        <w:spacing w:line="312" w:lineRule="auto"/>
        <w:ind w:firstLine="420"/>
        <w:rPr>
          <w:rFonts w:ascii="宋体" w:hAnsi="宋体" w:cs="宋体"/>
        </w:rPr>
      </w:pPr>
      <w:r w:rsidRPr="00253827">
        <w:rPr>
          <w:rFonts w:ascii="宋体" w:hAnsi="宋体" w:cs="宋体"/>
        </w:rPr>
        <w:t>国内端，</w:t>
      </w:r>
      <w:r w:rsidR="007C5819">
        <w:rPr>
          <w:rFonts w:ascii="宋体" w:hAnsi="宋体" w:cs="宋体" w:hint="eastAsia"/>
        </w:rPr>
        <w:t>前三季度我国G</w:t>
      </w:r>
      <w:r w:rsidR="007C5819">
        <w:rPr>
          <w:rFonts w:ascii="宋体" w:hAnsi="宋体" w:cs="宋体"/>
        </w:rPr>
        <w:t>DP</w:t>
      </w:r>
      <w:r w:rsidR="007C5819" w:rsidRPr="007C5819">
        <w:rPr>
          <w:rFonts w:ascii="宋体" w:hAnsi="宋体" w:cs="宋体" w:hint="eastAsia"/>
        </w:rPr>
        <w:t>同比</w:t>
      </w:r>
      <w:bookmarkStart w:id="0" w:name="_GoBack"/>
      <w:bookmarkEnd w:id="0"/>
      <w:r w:rsidR="007C5819" w:rsidRPr="007C5819">
        <w:rPr>
          <w:rFonts w:ascii="宋体" w:hAnsi="宋体" w:cs="宋体" w:hint="eastAsia"/>
        </w:rPr>
        <w:t>增长5.2%，环比增长1.1%</w:t>
      </w:r>
      <w:r w:rsidR="007C5819">
        <w:rPr>
          <w:rFonts w:ascii="宋体" w:hAnsi="宋体" w:cs="宋体" w:hint="eastAsia"/>
        </w:rPr>
        <w:t>，</w:t>
      </w:r>
      <w:r w:rsidR="007C5819" w:rsidRPr="007C5819">
        <w:rPr>
          <w:rFonts w:ascii="宋体" w:hAnsi="宋体" w:cs="宋体" w:hint="eastAsia"/>
        </w:rPr>
        <w:t>随着宏观政策“组合拳”加码加力，政策效应持续释放，国民经</w:t>
      </w:r>
      <w:r w:rsidR="007C5819">
        <w:rPr>
          <w:rFonts w:ascii="宋体" w:hAnsi="宋体" w:cs="宋体" w:hint="eastAsia"/>
        </w:rPr>
        <w:t>济顶住压力延续稳中有进发展态势</w:t>
      </w:r>
      <w:r w:rsidR="003265E6" w:rsidRPr="00253827">
        <w:rPr>
          <w:rFonts w:ascii="宋体" w:hAnsi="宋体" w:cs="宋体" w:hint="eastAsia"/>
        </w:rPr>
        <w:t>。</w:t>
      </w:r>
      <w:r w:rsidR="005E4D72" w:rsidRPr="00253827">
        <w:rPr>
          <w:rFonts w:ascii="宋体" w:hAnsi="宋体" w:cs="宋体" w:hint="eastAsia"/>
        </w:rPr>
        <w:t>此外，</w:t>
      </w:r>
      <w:r w:rsidR="00253827" w:rsidRPr="00253827">
        <w:rPr>
          <w:rFonts w:ascii="宋体" w:hAnsi="宋体" w:cs="宋体"/>
        </w:rPr>
        <w:t>9</w:t>
      </w:r>
      <w:r w:rsidR="005E4D72" w:rsidRPr="00253827">
        <w:rPr>
          <w:rFonts w:ascii="宋体" w:hAnsi="宋体" w:cs="宋体" w:hint="eastAsia"/>
        </w:rPr>
        <w:t>月我国</w:t>
      </w:r>
      <w:r w:rsidR="00DE437F">
        <w:rPr>
          <w:rFonts w:ascii="宋体" w:hAnsi="宋体" w:cs="宋体" w:hint="eastAsia"/>
        </w:rPr>
        <w:t>出口同比8</w:t>
      </w:r>
      <w:r w:rsidR="00DE437F">
        <w:rPr>
          <w:rFonts w:ascii="宋体" w:hAnsi="宋体" w:cs="宋体"/>
        </w:rPr>
        <w:t>.3%</w:t>
      </w:r>
      <w:r w:rsidR="00DE437F">
        <w:rPr>
          <w:rFonts w:ascii="宋体" w:hAnsi="宋体" w:cs="宋体" w:hint="eastAsia"/>
        </w:rPr>
        <w:t>，进口同比7</w:t>
      </w:r>
      <w:r w:rsidR="00DE437F">
        <w:rPr>
          <w:rFonts w:ascii="宋体" w:hAnsi="宋体" w:cs="宋体"/>
        </w:rPr>
        <w:t>.4%</w:t>
      </w:r>
      <w:r w:rsidR="00DE437F">
        <w:rPr>
          <w:rFonts w:ascii="宋体" w:hAnsi="宋体" w:cs="宋体" w:hint="eastAsia"/>
        </w:rPr>
        <w:t>，远超预期</w:t>
      </w:r>
      <w:r w:rsidR="00DE437F">
        <w:rPr>
          <w:rFonts w:ascii="宋体" w:hAnsi="宋体" w:cs="宋体"/>
        </w:rPr>
        <w:t>7.1</w:t>
      </w:r>
      <w:r w:rsidR="00DE437F">
        <w:rPr>
          <w:rFonts w:ascii="宋体" w:hAnsi="宋体" w:cs="宋体" w:hint="eastAsia"/>
        </w:rPr>
        <w:t>和1</w:t>
      </w:r>
      <w:r w:rsidR="00DE437F">
        <w:rPr>
          <w:rFonts w:ascii="宋体" w:hAnsi="宋体" w:cs="宋体"/>
        </w:rPr>
        <w:t>.5%</w:t>
      </w:r>
      <w:r w:rsidR="00DE437F">
        <w:rPr>
          <w:rFonts w:ascii="宋体" w:hAnsi="宋体" w:cs="宋体" w:hint="eastAsia"/>
        </w:rPr>
        <w:t>，与P</w:t>
      </w:r>
      <w:r w:rsidR="00DE437F">
        <w:rPr>
          <w:rFonts w:ascii="宋体" w:hAnsi="宋体" w:cs="宋体"/>
        </w:rPr>
        <w:t>MI</w:t>
      </w:r>
      <w:r w:rsidR="00DE437F">
        <w:rPr>
          <w:rFonts w:ascii="宋体" w:hAnsi="宋体" w:cs="宋体" w:hint="eastAsia"/>
        </w:rPr>
        <w:t>恢复趋势相一致。</w:t>
      </w:r>
      <w:r w:rsidR="007C5819" w:rsidRPr="007C5819">
        <w:rPr>
          <w:rFonts w:ascii="宋体" w:hAnsi="宋体" w:cs="宋体" w:hint="eastAsia"/>
        </w:rPr>
        <w:t>但也要注意，美国政府停摆叠加贸易战局势尚不稳固，市场担忧升温</w:t>
      </w:r>
      <w:r w:rsidR="007C5819">
        <w:rPr>
          <w:rFonts w:ascii="宋体" w:hAnsi="宋体" w:cs="宋体" w:hint="eastAsia"/>
        </w:rPr>
        <w:t>，或掣肘我国出口从而对经济产生负面影响，</w:t>
      </w:r>
      <w:r w:rsidR="00DE437F" w:rsidRPr="00DE437F">
        <w:rPr>
          <w:rFonts w:ascii="宋体" w:hAnsi="宋体" w:cs="宋体" w:hint="eastAsia"/>
        </w:rPr>
        <w:t>考虑到特朗普将关税政策实施的时间设置为11月1日，仍有谈判空间</w:t>
      </w:r>
      <w:r w:rsidR="00DE437F">
        <w:rPr>
          <w:rFonts w:ascii="宋体" w:hAnsi="宋体" w:cs="宋体" w:hint="eastAsia"/>
        </w:rPr>
        <w:t>。综上，我国</w:t>
      </w:r>
      <w:r w:rsidR="003265E6" w:rsidRPr="00253827">
        <w:rPr>
          <w:rFonts w:ascii="宋体" w:hAnsi="宋体" w:cs="宋体" w:hint="eastAsia"/>
        </w:rPr>
        <w:t>经济复苏</w:t>
      </w:r>
      <w:r w:rsidR="005E4D72" w:rsidRPr="00253827">
        <w:rPr>
          <w:rFonts w:ascii="宋体" w:hAnsi="宋体" w:cs="宋体" w:hint="eastAsia"/>
        </w:rPr>
        <w:t>趋势依旧稳固</w:t>
      </w:r>
      <w:r w:rsidR="003265E6" w:rsidRPr="00253827">
        <w:rPr>
          <w:rFonts w:ascii="宋体" w:hAnsi="宋体" w:cs="宋体" w:hint="eastAsia"/>
        </w:rPr>
        <w:t>，人民币汇率</w:t>
      </w:r>
      <w:r w:rsidR="005E4D72" w:rsidRPr="00253827">
        <w:rPr>
          <w:rFonts w:ascii="宋体" w:hAnsi="宋体" w:cs="宋体" w:hint="eastAsia"/>
        </w:rPr>
        <w:t>在美联储降息的背景下料</w:t>
      </w:r>
      <w:r w:rsidR="003265E6" w:rsidRPr="00253827">
        <w:rPr>
          <w:rFonts w:ascii="宋体" w:hAnsi="宋体" w:cs="宋体" w:hint="eastAsia"/>
        </w:rPr>
        <w:t>稳</w:t>
      </w:r>
      <w:r w:rsidR="005E4D72" w:rsidRPr="00253827">
        <w:rPr>
          <w:rFonts w:ascii="宋体" w:hAnsi="宋体" w:cs="宋体" w:hint="eastAsia"/>
        </w:rPr>
        <w:t>中向上</w:t>
      </w:r>
      <w:r w:rsidR="003265E6" w:rsidRPr="00253827">
        <w:rPr>
          <w:rFonts w:ascii="宋体" w:hAnsi="宋体" w:cs="宋体" w:hint="eastAsia"/>
        </w:rPr>
        <w:t>。</w:t>
      </w:r>
    </w:p>
    <w:p w14:paraId="16FCB4C1" w14:textId="77AF1232" w:rsidR="00F954EA" w:rsidRDefault="00F954EA" w:rsidP="00194A13">
      <w:pPr>
        <w:spacing w:line="312" w:lineRule="auto"/>
        <w:ind w:firstLine="420"/>
        <w:rPr>
          <w:rFonts w:ascii="宋体" w:hAnsi="宋体"/>
        </w:rPr>
      </w:pPr>
    </w:p>
    <w:p w14:paraId="125A1050" w14:textId="77777777" w:rsidR="00F954EA" w:rsidRDefault="00F954EA" w:rsidP="00194A13">
      <w:pPr>
        <w:spacing w:line="312" w:lineRule="auto"/>
        <w:ind w:firstLine="420"/>
        <w:rPr>
          <w:rFonts w:ascii="宋体" w:hAnsi="宋体" w:cs="宋体"/>
        </w:rPr>
      </w:pP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DFFD4" w14:textId="77777777" w:rsidR="00673FAC" w:rsidRDefault="00673FAC" w:rsidP="00127060">
      <w:r>
        <w:separator/>
      </w:r>
    </w:p>
  </w:endnote>
  <w:endnote w:type="continuationSeparator" w:id="0">
    <w:p w14:paraId="41441E4C" w14:textId="77777777" w:rsidR="00673FAC" w:rsidRDefault="00673FAC"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3A7FB" w14:textId="77777777" w:rsidR="00673FAC" w:rsidRDefault="00673FAC" w:rsidP="00127060">
      <w:r>
        <w:separator/>
      </w:r>
    </w:p>
  </w:footnote>
  <w:footnote w:type="continuationSeparator" w:id="0">
    <w:p w14:paraId="7602690E" w14:textId="77777777" w:rsidR="00673FAC" w:rsidRDefault="00673FAC"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27E"/>
    <w:rsid w:val="00011E90"/>
    <w:rsid w:val="00015ABA"/>
    <w:rsid w:val="00015CEB"/>
    <w:rsid w:val="00016329"/>
    <w:rsid w:val="00017E90"/>
    <w:rsid w:val="00021789"/>
    <w:rsid w:val="000218EC"/>
    <w:rsid w:val="00023083"/>
    <w:rsid w:val="0002357D"/>
    <w:rsid w:val="00027E72"/>
    <w:rsid w:val="000301E2"/>
    <w:rsid w:val="000328C5"/>
    <w:rsid w:val="00032F98"/>
    <w:rsid w:val="000447DD"/>
    <w:rsid w:val="00046EC5"/>
    <w:rsid w:val="0005052B"/>
    <w:rsid w:val="00052952"/>
    <w:rsid w:val="000540B3"/>
    <w:rsid w:val="00054D2E"/>
    <w:rsid w:val="00055C18"/>
    <w:rsid w:val="0005615C"/>
    <w:rsid w:val="00056C00"/>
    <w:rsid w:val="00057586"/>
    <w:rsid w:val="00061E07"/>
    <w:rsid w:val="000649D8"/>
    <w:rsid w:val="000658CB"/>
    <w:rsid w:val="00066060"/>
    <w:rsid w:val="00072AF7"/>
    <w:rsid w:val="0007552B"/>
    <w:rsid w:val="00083FCF"/>
    <w:rsid w:val="000902C1"/>
    <w:rsid w:val="00094A69"/>
    <w:rsid w:val="0009578B"/>
    <w:rsid w:val="000959E1"/>
    <w:rsid w:val="00096C6B"/>
    <w:rsid w:val="000A0A52"/>
    <w:rsid w:val="000A1B52"/>
    <w:rsid w:val="000A1C34"/>
    <w:rsid w:val="000A1E80"/>
    <w:rsid w:val="000A5DB1"/>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0F6721"/>
    <w:rsid w:val="000F6A0B"/>
    <w:rsid w:val="00100296"/>
    <w:rsid w:val="0011314B"/>
    <w:rsid w:val="00113D9E"/>
    <w:rsid w:val="00115730"/>
    <w:rsid w:val="0012070F"/>
    <w:rsid w:val="00125BEA"/>
    <w:rsid w:val="00127060"/>
    <w:rsid w:val="001470E8"/>
    <w:rsid w:val="00150521"/>
    <w:rsid w:val="00153427"/>
    <w:rsid w:val="001564E1"/>
    <w:rsid w:val="0015671A"/>
    <w:rsid w:val="001573DE"/>
    <w:rsid w:val="00182FB2"/>
    <w:rsid w:val="001847B0"/>
    <w:rsid w:val="001869F4"/>
    <w:rsid w:val="001938CF"/>
    <w:rsid w:val="00194A13"/>
    <w:rsid w:val="00195C4D"/>
    <w:rsid w:val="00197E1F"/>
    <w:rsid w:val="00197E3E"/>
    <w:rsid w:val="001A59DE"/>
    <w:rsid w:val="001B6505"/>
    <w:rsid w:val="001C598E"/>
    <w:rsid w:val="001C7A4C"/>
    <w:rsid w:val="001C7CB7"/>
    <w:rsid w:val="001D5BF6"/>
    <w:rsid w:val="001F0839"/>
    <w:rsid w:val="001F0B8B"/>
    <w:rsid w:val="001F3157"/>
    <w:rsid w:val="001F4E90"/>
    <w:rsid w:val="001F6D4B"/>
    <w:rsid w:val="0020319F"/>
    <w:rsid w:val="002041D1"/>
    <w:rsid w:val="0020501F"/>
    <w:rsid w:val="0020541A"/>
    <w:rsid w:val="00215D99"/>
    <w:rsid w:val="0021694A"/>
    <w:rsid w:val="00216CC4"/>
    <w:rsid w:val="00220075"/>
    <w:rsid w:val="00220B10"/>
    <w:rsid w:val="00220C9B"/>
    <w:rsid w:val="002221A8"/>
    <w:rsid w:val="00223E72"/>
    <w:rsid w:val="00227DE4"/>
    <w:rsid w:val="002348D9"/>
    <w:rsid w:val="002348FA"/>
    <w:rsid w:val="00242AD4"/>
    <w:rsid w:val="00244509"/>
    <w:rsid w:val="00247EFC"/>
    <w:rsid w:val="00253827"/>
    <w:rsid w:val="00257436"/>
    <w:rsid w:val="0026035D"/>
    <w:rsid w:val="002617AF"/>
    <w:rsid w:val="00263BE6"/>
    <w:rsid w:val="00266134"/>
    <w:rsid w:val="0027103D"/>
    <w:rsid w:val="00273827"/>
    <w:rsid w:val="00276F3C"/>
    <w:rsid w:val="002779DB"/>
    <w:rsid w:val="0028510B"/>
    <w:rsid w:val="0028572C"/>
    <w:rsid w:val="00290F42"/>
    <w:rsid w:val="00296492"/>
    <w:rsid w:val="002A359F"/>
    <w:rsid w:val="002A79EF"/>
    <w:rsid w:val="002C346F"/>
    <w:rsid w:val="002C4410"/>
    <w:rsid w:val="002C6293"/>
    <w:rsid w:val="002C7B4F"/>
    <w:rsid w:val="002D1AA3"/>
    <w:rsid w:val="002D2D54"/>
    <w:rsid w:val="002D49D0"/>
    <w:rsid w:val="002D62A9"/>
    <w:rsid w:val="002E0B93"/>
    <w:rsid w:val="002E39E8"/>
    <w:rsid w:val="002E48D7"/>
    <w:rsid w:val="002F6580"/>
    <w:rsid w:val="00300223"/>
    <w:rsid w:val="00301549"/>
    <w:rsid w:val="003041AA"/>
    <w:rsid w:val="00304D86"/>
    <w:rsid w:val="00304DF8"/>
    <w:rsid w:val="003066A3"/>
    <w:rsid w:val="003070DC"/>
    <w:rsid w:val="00310347"/>
    <w:rsid w:val="00312B57"/>
    <w:rsid w:val="00324293"/>
    <w:rsid w:val="003265E6"/>
    <w:rsid w:val="00326BE8"/>
    <w:rsid w:val="00336209"/>
    <w:rsid w:val="00341353"/>
    <w:rsid w:val="00343540"/>
    <w:rsid w:val="00350819"/>
    <w:rsid w:val="00351614"/>
    <w:rsid w:val="0035301A"/>
    <w:rsid w:val="003576ED"/>
    <w:rsid w:val="00357828"/>
    <w:rsid w:val="00363129"/>
    <w:rsid w:val="0036506F"/>
    <w:rsid w:val="003665FF"/>
    <w:rsid w:val="0036685A"/>
    <w:rsid w:val="00371BC0"/>
    <w:rsid w:val="00377B85"/>
    <w:rsid w:val="003903E1"/>
    <w:rsid w:val="00392306"/>
    <w:rsid w:val="003A2616"/>
    <w:rsid w:val="003A4CF3"/>
    <w:rsid w:val="003A7F2C"/>
    <w:rsid w:val="003B49D5"/>
    <w:rsid w:val="003C55CB"/>
    <w:rsid w:val="003D2210"/>
    <w:rsid w:val="003D3AF3"/>
    <w:rsid w:val="003D3DB8"/>
    <w:rsid w:val="003D7A03"/>
    <w:rsid w:val="003E0E92"/>
    <w:rsid w:val="003E1D2F"/>
    <w:rsid w:val="003E2D6E"/>
    <w:rsid w:val="003E5930"/>
    <w:rsid w:val="003F2BF1"/>
    <w:rsid w:val="003F3205"/>
    <w:rsid w:val="004012E4"/>
    <w:rsid w:val="004023AC"/>
    <w:rsid w:val="0040735B"/>
    <w:rsid w:val="00407F4C"/>
    <w:rsid w:val="00413A6A"/>
    <w:rsid w:val="00414D5B"/>
    <w:rsid w:val="00416F99"/>
    <w:rsid w:val="00420D11"/>
    <w:rsid w:val="00431962"/>
    <w:rsid w:val="00431FCF"/>
    <w:rsid w:val="00433DAC"/>
    <w:rsid w:val="00434A8A"/>
    <w:rsid w:val="004428AC"/>
    <w:rsid w:val="00444051"/>
    <w:rsid w:val="004445D6"/>
    <w:rsid w:val="00447802"/>
    <w:rsid w:val="0045019A"/>
    <w:rsid w:val="004521D8"/>
    <w:rsid w:val="00456C36"/>
    <w:rsid w:val="00456F4B"/>
    <w:rsid w:val="00462568"/>
    <w:rsid w:val="00464902"/>
    <w:rsid w:val="00472C1A"/>
    <w:rsid w:val="0048255E"/>
    <w:rsid w:val="00482C6C"/>
    <w:rsid w:val="004855D9"/>
    <w:rsid w:val="004A483B"/>
    <w:rsid w:val="004A5DEA"/>
    <w:rsid w:val="004A618A"/>
    <w:rsid w:val="004B1822"/>
    <w:rsid w:val="004B3117"/>
    <w:rsid w:val="004B4636"/>
    <w:rsid w:val="004B569D"/>
    <w:rsid w:val="004B6B0F"/>
    <w:rsid w:val="004C131F"/>
    <w:rsid w:val="004C243D"/>
    <w:rsid w:val="004D283C"/>
    <w:rsid w:val="004D75A9"/>
    <w:rsid w:val="004E10AA"/>
    <w:rsid w:val="004E22E6"/>
    <w:rsid w:val="004E332D"/>
    <w:rsid w:val="004F0C55"/>
    <w:rsid w:val="004F16E7"/>
    <w:rsid w:val="0050173E"/>
    <w:rsid w:val="00505961"/>
    <w:rsid w:val="00505DD6"/>
    <w:rsid w:val="00511152"/>
    <w:rsid w:val="0051618C"/>
    <w:rsid w:val="00537CF9"/>
    <w:rsid w:val="0055205C"/>
    <w:rsid w:val="00571EBF"/>
    <w:rsid w:val="00574E1F"/>
    <w:rsid w:val="00583AD9"/>
    <w:rsid w:val="00585144"/>
    <w:rsid w:val="005B0999"/>
    <w:rsid w:val="005D4042"/>
    <w:rsid w:val="005D591B"/>
    <w:rsid w:val="005D6040"/>
    <w:rsid w:val="005E4D72"/>
    <w:rsid w:val="005E791A"/>
    <w:rsid w:val="005F55A3"/>
    <w:rsid w:val="005F7439"/>
    <w:rsid w:val="00600382"/>
    <w:rsid w:val="006206E8"/>
    <w:rsid w:val="00621D14"/>
    <w:rsid w:val="00624E74"/>
    <w:rsid w:val="00626AF8"/>
    <w:rsid w:val="00626F9A"/>
    <w:rsid w:val="00637EE4"/>
    <w:rsid w:val="006466A9"/>
    <w:rsid w:val="00646D9C"/>
    <w:rsid w:val="00647B32"/>
    <w:rsid w:val="0065442E"/>
    <w:rsid w:val="00655606"/>
    <w:rsid w:val="00655FE4"/>
    <w:rsid w:val="006603DF"/>
    <w:rsid w:val="0066318A"/>
    <w:rsid w:val="00671429"/>
    <w:rsid w:val="00671C9F"/>
    <w:rsid w:val="00673FAC"/>
    <w:rsid w:val="006938C5"/>
    <w:rsid w:val="006A2C2A"/>
    <w:rsid w:val="006A35D1"/>
    <w:rsid w:val="006A3F5D"/>
    <w:rsid w:val="006A584F"/>
    <w:rsid w:val="006B50D4"/>
    <w:rsid w:val="006B685C"/>
    <w:rsid w:val="006C158F"/>
    <w:rsid w:val="006C1898"/>
    <w:rsid w:val="006D339B"/>
    <w:rsid w:val="006E2C2D"/>
    <w:rsid w:val="006E5C84"/>
    <w:rsid w:val="006E7ABA"/>
    <w:rsid w:val="00710E4C"/>
    <w:rsid w:val="0071470E"/>
    <w:rsid w:val="00715E21"/>
    <w:rsid w:val="00716E5A"/>
    <w:rsid w:val="0072465D"/>
    <w:rsid w:val="00724724"/>
    <w:rsid w:val="00730110"/>
    <w:rsid w:val="007348A2"/>
    <w:rsid w:val="00746E5A"/>
    <w:rsid w:val="00762458"/>
    <w:rsid w:val="00762BC0"/>
    <w:rsid w:val="00763B4A"/>
    <w:rsid w:val="00772ADA"/>
    <w:rsid w:val="00776BB4"/>
    <w:rsid w:val="00777880"/>
    <w:rsid w:val="00781600"/>
    <w:rsid w:val="007844B4"/>
    <w:rsid w:val="00785749"/>
    <w:rsid w:val="0078583C"/>
    <w:rsid w:val="00786FC0"/>
    <w:rsid w:val="00787BFA"/>
    <w:rsid w:val="00792957"/>
    <w:rsid w:val="00792E03"/>
    <w:rsid w:val="0079373C"/>
    <w:rsid w:val="007A5815"/>
    <w:rsid w:val="007B10D1"/>
    <w:rsid w:val="007B3FE4"/>
    <w:rsid w:val="007B677E"/>
    <w:rsid w:val="007B746D"/>
    <w:rsid w:val="007C0CD5"/>
    <w:rsid w:val="007C4700"/>
    <w:rsid w:val="007C5819"/>
    <w:rsid w:val="007C648F"/>
    <w:rsid w:val="007C7C58"/>
    <w:rsid w:val="007D3E5A"/>
    <w:rsid w:val="007D4B15"/>
    <w:rsid w:val="007D60FF"/>
    <w:rsid w:val="007E1257"/>
    <w:rsid w:val="007E4414"/>
    <w:rsid w:val="007F0835"/>
    <w:rsid w:val="007F6420"/>
    <w:rsid w:val="00804540"/>
    <w:rsid w:val="00813A5E"/>
    <w:rsid w:val="0083623C"/>
    <w:rsid w:val="00844DA7"/>
    <w:rsid w:val="00847CAE"/>
    <w:rsid w:val="00852D32"/>
    <w:rsid w:val="00852FAF"/>
    <w:rsid w:val="00853402"/>
    <w:rsid w:val="00854449"/>
    <w:rsid w:val="008575F1"/>
    <w:rsid w:val="0086476E"/>
    <w:rsid w:val="008663E7"/>
    <w:rsid w:val="0087172E"/>
    <w:rsid w:val="00881976"/>
    <w:rsid w:val="00882F85"/>
    <w:rsid w:val="00886C14"/>
    <w:rsid w:val="00887911"/>
    <w:rsid w:val="008A1FB2"/>
    <w:rsid w:val="008A2B9D"/>
    <w:rsid w:val="008A4C3C"/>
    <w:rsid w:val="008B0DD1"/>
    <w:rsid w:val="008B325C"/>
    <w:rsid w:val="008B334F"/>
    <w:rsid w:val="008B5B8F"/>
    <w:rsid w:val="008B5D1D"/>
    <w:rsid w:val="008B7950"/>
    <w:rsid w:val="008C13E8"/>
    <w:rsid w:val="008C1403"/>
    <w:rsid w:val="008C1856"/>
    <w:rsid w:val="008C2303"/>
    <w:rsid w:val="008C495E"/>
    <w:rsid w:val="008C55B1"/>
    <w:rsid w:val="008C58A9"/>
    <w:rsid w:val="008E52D9"/>
    <w:rsid w:val="0090054A"/>
    <w:rsid w:val="009078F0"/>
    <w:rsid w:val="00912158"/>
    <w:rsid w:val="00915D99"/>
    <w:rsid w:val="00916155"/>
    <w:rsid w:val="00916F88"/>
    <w:rsid w:val="00921AD3"/>
    <w:rsid w:val="00922740"/>
    <w:rsid w:val="00930998"/>
    <w:rsid w:val="0093171E"/>
    <w:rsid w:val="00934D76"/>
    <w:rsid w:val="00941B7A"/>
    <w:rsid w:val="009425B7"/>
    <w:rsid w:val="00950AA4"/>
    <w:rsid w:val="0095193C"/>
    <w:rsid w:val="009528D9"/>
    <w:rsid w:val="009615A9"/>
    <w:rsid w:val="009624AE"/>
    <w:rsid w:val="00964904"/>
    <w:rsid w:val="00965238"/>
    <w:rsid w:val="0097610B"/>
    <w:rsid w:val="0097639B"/>
    <w:rsid w:val="009807E3"/>
    <w:rsid w:val="009821C1"/>
    <w:rsid w:val="00982EB3"/>
    <w:rsid w:val="00984FF0"/>
    <w:rsid w:val="009866FF"/>
    <w:rsid w:val="009927F3"/>
    <w:rsid w:val="0099372E"/>
    <w:rsid w:val="00994228"/>
    <w:rsid w:val="009A27BC"/>
    <w:rsid w:val="009A75FC"/>
    <w:rsid w:val="009B25EF"/>
    <w:rsid w:val="009C0381"/>
    <w:rsid w:val="009C0504"/>
    <w:rsid w:val="009C3D02"/>
    <w:rsid w:val="009C7D4B"/>
    <w:rsid w:val="009D128B"/>
    <w:rsid w:val="009D18C0"/>
    <w:rsid w:val="009D1C60"/>
    <w:rsid w:val="009D2952"/>
    <w:rsid w:val="009D30D7"/>
    <w:rsid w:val="009D3BE6"/>
    <w:rsid w:val="009D594C"/>
    <w:rsid w:val="009E58E4"/>
    <w:rsid w:val="009F2447"/>
    <w:rsid w:val="009F3358"/>
    <w:rsid w:val="009F417E"/>
    <w:rsid w:val="00A00F94"/>
    <w:rsid w:val="00A10A17"/>
    <w:rsid w:val="00A11272"/>
    <w:rsid w:val="00A12E97"/>
    <w:rsid w:val="00A234E0"/>
    <w:rsid w:val="00A26326"/>
    <w:rsid w:val="00A3024E"/>
    <w:rsid w:val="00A31FA7"/>
    <w:rsid w:val="00A32364"/>
    <w:rsid w:val="00A33EC9"/>
    <w:rsid w:val="00A3670A"/>
    <w:rsid w:val="00A3724E"/>
    <w:rsid w:val="00A37796"/>
    <w:rsid w:val="00A37AF9"/>
    <w:rsid w:val="00A4147F"/>
    <w:rsid w:val="00A46DE2"/>
    <w:rsid w:val="00A53530"/>
    <w:rsid w:val="00A568F0"/>
    <w:rsid w:val="00A618F2"/>
    <w:rsid w:val="00A70404"/>
    <w:rsid w:val="00A70BD1"/>
    <w:rsid w:val="00A71812"/>
    <w:rsid w:val="00A74769"/>
    <w:rsid w:val="00A77350"/>
    <w:rsid w:val="00A84ED5"/>
    <w:rsid w:val="00A867D6"/>
    <w:rsid w:val="00A87B55"/>
    <w:rsid w:val="00A959A4"/>
    <w:rsid w:val="00AA73C1"/>
    <w:rsid w:val="00AA7E59"/>
    <w:rsid w:val="00AB2BF2"/>
    <w:rsid w:val="00AB77E4"/>
    <w:rsid w:val="00AB7FCB"/>
    <w:rsid w:val="00AC09FC"/>
    <w:rsid w:val="00AC23F7"/>
    <w:rsid w:val="00AD25D1"/>
    <w:rsid w:val="00AD468C"/>
    <w:rsid w:val="00AE352D"/>
    <w:rsid w:val="00AE4401"/>
    <w:rsid w:val="00AE5D02"/>
    <w:rsid w:val="00AE61BD"/>
    <w:rsid w:val="00AF4AA5"/>
    <w:rsid w:val="00B158F9"/>
    <w:rsid w:val="00B17CED"/>
    <w:rsid w:val="00B20497"/>
    <w:rsid w:val="00B21983"/>
    <w:rsid w:val="00B25A83"/>
    <w:rsid w:val="00B45667"/>
    <w:rsid w:val="00B53C41"/>
    <w:rsid w:val="00B6015F"/>
    <w:rsid w:val="00B61147"/>
    <w:rsid w:val="00B62125"/>
    <w:rsid w:val="00B62126"/>
    <w:rsid w:val="00B62713"/>
    <w:rsid w:val="00B64891"/>
    <w:rsid w:val="00B67586"/>
    <w:rsid w:val="00B715B9"/>
    <w:rsid w:val="00B71877"/>
    <w:rsid w:val="00B73B17"/>
    <w:rsid w:val="00B73C28"/>
    <w:rsid w:val="00B74234"/>
    <w:rsid w:val="00B7440D"/>
    <w:rsid w:val="00B770FE"/>
    <w:rsid w:val="00B85DFF"/>
    <w:rsid w:val="00B874B7"/>
    <w:rsid w:val="00B87C9E"/>
    <w:rsid w:val="00B91814"/>
    <w:rsid w:val="00BA0B26"/>
    <w:rsid w:val="00BA6CC1"/>
    <w:rsid w:val="00BA7B2C"/>
    <w:rsid w:val="00BA7C59"/>
    <w:rsid w:val="00BB52D1"/>
    <w:rsid w:val="00BB573D"/>
    <w:rsid w:val="00BB7F54"/>
    <w:rsid w:val="00BC01B8"/>
    <w:rsid w:val="00BC2F10"/>
    <w:rsid w:val="00BC610A"/>
    <w:rsid w:val="00BD0804"/>
    <w:rsid w:val="00BD65EE"/>
    <w:rsid w:val="00BD7EBC"/>
    <w:rsid w:val="00BE2780"/>
    <w:rsid w:val="00BE728D"/>
    <w:rsid w:val="00BE7495"/>
    <w:rsid w:val="00BF0672"/>
    <w:rsid w:val="00BF1550"/>
    <w:rsid w:val="00BF21E2"/>
    <w:rsid w:val="00BF4F9A"/>
    <w:rsid w:val="00BF7D0E"/>
    <w:rsid w:val="00C10509"/>
    <w:rsid w:val="00C11B0E"/>
    <w:rsid w:val="00C12E3E"/>
    <w:rsid w:val="00C15A00"/>
    <w:rsid w:val="00C21A4B"/>
    <w:rsid w:val="00C25AC5"/>
    <w:rsid w:val="00C3478E"/>
    <w:rsid w:val="00C34E83"/>
    <w:rsid w:val="00C37583"/>
    <w:rsid w:val="00C42CD6"/>
    <w:rsid w:val="00C454EA"/>
    <w:rsid w:val="00C46066"/>
    <w:rsid w:val="00C46144"/>
    <w:rsid w:val="00C47469"/>
    <w:rsid w:val="00C505AE"/>
    <w:rsid w:val="00C624E3"/>
    <w:rsid w:val="00C62AC4"/>
    <w:rsid w:val="00C66DB1"/>
    <w:rsid w:val="00C670BC"/>
    <w:rsid w:val="00C70EDE"/>
    <w:rsid w:val="00C7140E"/>
    <w:rsid w:val="00C71E51"/>
    <w:rsid w:val="00C74CBC"/>
    <w:rsid w:val="00C77777"/>
    <w:rsid w:val="00C85ECA"/>
    <w:rsid w:val="00C861A9"/>
    <w:rsid w:val="00CA1C69"/>
    <w:rsid w:val="00CA2893"/>
    <w:rsid w:val="00CA393B"/>
    <w:rsid w:val="00CA3BCB"/>
    <w:rsid w:val="00CA7296"/>
    <w:rsid w:val="00CB2110"/>
    <w:rsid w:val="00CB6E2B"/>
    <w:rsid w:val="00CC28AB"/>
    <w:rsid w:val="00CC2C53"/>
    <w:rsid w:val="00CD3D78"/>
    <w:rsid w:val="00CD65B1"/>
    <w:rsid w:val="00CD7080"/>
    <w:rsid w:val="00CD788A"/>
    <w:rsid w:val="00CE4FC7"/>
    <w:rsid w:val="00CE5ABB"/>
    <w:rsid w:val="00CE6F7F"/>
    <w:rsid w:val="00CF35A8"/>
    <w:rsid w:val="00CF5574"/>
    <w:rsid w:val="00CF65DD"/>
    <w:rsid w:val="00D0319E"/>
    <w:rsid w:val="00D03363"/>
    <w:rsid w:val="00D06CB0"/>
    <w:rsid w:val="00D07670"/>
    <w:rsid w:val="00D104E8"/>
    <w:rsid w:val="00D12EAC"/>
    <w:rsid w:val="00D13805"/>
    <w:rsid w:val="00D143D7"/>
    <w:rsid w:val="00D22BF7"/>
    <w:rsid w:val="00D276C0"/>
    <w:rsid w:val="00D276C9"/>
    <w:rsid w:val="00D27DFE"/>
    <w:rsid w:val="00D3039F"/>
    <w:rsid w:val="00D32B08"/>
    <w:rsid w:val="00D37130"/>
    <w:rsid w:val="00D435DB"/>
    <w:rsid w:val="00D43B13"/>
    <w:rsid w:val="00D447B2"/>
    <w:rsid w:val="00D46F69"/>
    <w:rsid w:val="00D47035"/>
    <w:rsid w:val="00D5198D"/>
    <w:rsid w:val="00D521AE"/>
    <w:rsid w:val="00D63942"/>
    <w:rsid w:val="00D63AF2"/>
    <w:rsid w:val="00D6473B"/>
    <w:rsid w:val="00D66AEE"/>
    <w:rsid w:val="00D710D7"/>
    <w:rsid w:val="00D72D1D"/>
    <w:rsid w:val="00D7687B"/>
    <w:rsid w:val="00D80111"/>
    <w:rsid w:val="00D87535"/>
    <w:rsid w:val="00D906DE"/>
    <w:rsid w:val="00D96A08"/>
    <w:rsid w:val="00DA3C42"/>
    <w:rsid w:val="00DA6F42"/>
    <w:rsid w:val="00DB06A2"/>
    <w:rsid w:val="00DB11FD"/>
    <w:rsid w:val="00DB2849"/>
    <w:rsid w:val="00DB58B5"/>
    <w:rsid w:val="00DB70AE"/>
    <w:rsid w:val="00DD3375"/>
    <w:rsid w:val="00DE437F"/>
    <w:rsid w:val="00DE5BCE"/>
    <w:rsid w:val="00DF74BC"/>
    <w:rsid w:val="00E0471F"/>
    <w:rsid w:val="00E07DDD"/>
    <w:rsid w:val="00E1301A"/>
    <w:rsid w:val="00E136F7"/>
    <w:rsid w:val="00E151DA"/>
    <w:rsid w:val="00E23901"/>
    <w:rsid w:val="00E2570F"/>
    <w:rsid w:val="00E31C1C"/>
    <w:rsid w:val="00E342E5"/>
    <w:rsid w:val="00E37F6F"/>
    <w:rsid w:val="00E41E86"/>
    <w:rsid w:val="00E4628F"/>
    <w:rsid w:val="00E53E08"/>
    <w:rsid w:val="00E55191"/>
    <w:rsid w:val="00E600C5"/>
    <w:rsid w:val="00E615E8"/>
    <w:rsid w:val="00E62C39"/>
    <w:rsid w:val="00E70ABA"/>
    <w:rsid w:val="00E7114D"/>
    <w:rsid w:val="00E72351"/>
    <w:rsid w:val="00E72BE2"/>
    <w:rsid w:val="00E75382"/>
    <w:rsid w:val="00E8384B"/>
    <w:rsid w:val="00E83E98"/>
    <w:rsid w:val="00E8480F"/>
    <w:rsid w:val="00EA1A14"/>
    <w:rsid w:val="00EB0DF5"/>
    <w:rsid w:val="00EC0693"/>
    <w:rsid w:val="00EC0D08"/>
    <w:rsid w:val="00EC4A9B"/>
    <w:rsid w:val="00EC5267"/>
    <w:rsid w:val="00EC5EE6"/>
    <w:rsid w:val="00EC7330"/>
    <w:rsid w:val="00ED03AD"/>
    <w:rsid w:val="00ED0C59"/>
    <w:rsid w:val="00ED2B5E"/>
    <w:rsid w:val="00ED78EE"/>
    <w:rsid w:val="00EE0ABC"/>
    <w:rsid w:val="00EE0BF0"/>
    <w:rsid w:val="00EE3CE0"/>
    <w:rsid w:val="00EE4951"/>
    <w:rsid w:val="00EE517B"/>
    <w:rsid w:val="00EE7345"/>
    <w:rsid w:val="00EF044D"/>
    <w:rsid w:val="00EF470E"/>
    <w:rsid w:val="00EF4EA3"/>
    <w:rsid w:val="00EF6715"/>
    <w:rsid w:val="00F0560A"/>
    <w:rsid w:val="00F13C7E"/>
    <w:rsid w:val="00F15BF4"/>
    <w:rsid w:val="00F16626"/>
    <w:rsid w:val="00F2284B"/>
    <w:rsid w:val="00F33261"/>
    <w:rsid w:val="00F33658"/>
    <w:rsid w:val="00F35CCE"/>
    <w:rsid w:val="00F36CBD"/>
    <w:rsid w:val="00F40887"/>
    <w:rsid w:val="00F4119E"/>
    <w:rsid w:val="00F42487"/>
    <w:rsid w:val="00F443E3"/>
    <w:rsid w:val="00F44D25"/>
    <w:rsid w:val="00F5017A"/>
    <w:rsid w:val="00F56F48"/>
    <w:rsid w:val="00F64EF4"/>
    <w:rsid w:val="00F65DDC"/>
    <w:rsid w:val="00F7091A"/>
    <w:rsid w:val="00F73349"/>
    <w:rsid w:val="00F75322"/>
    <w:rsid w:val="00F759FA"/>
    <w:rsid w:val="00F75A3D"/>
    <w:rsid w:val="00F76960"/>
    <w:rsid w:val="00F772C1"/>
    <w:rsid w:val="00F810DB"/>
    <w:rsid w:val="00F858FD"/>
    <w:rsid w:val="00F868F7"/>
    <w:rsid w:val="00F94497"/>
    <w:rsid w:val="00F954EA"/>
    <w:rsid w:val="00F95B17"/>
    <w:rsid w:val="00FA206D"/>
    <w:rsid w:val="00FA6D95"/>
    <w:rsid w:val="00FB693A"/>
    <w:rsid w:val="00FB7024"/>
    <w:rsid w:val="00FB72A5"/>
    <w:rsid w:val="00FC30F3"/>
    <w:rsid w:val="00FD29C8"/>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 w:type="paragraph" w:styleId="ad">
    <w:name w:val="Normal (Web)"/>
    <w:basedOn w:val="a"/>
    <w:uiPriority w:val="99"/>
    <w:semiHidden/>
    <w:unhideWhenUsed/>
    <w:rsid w:val="00FA20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302">
      <w:bodyDiv w:val="1"/>
      <w:marLeft w:val="0"/>
      <w:marRight w:val="0"/>
      <w:marTop w:val="0"/>
      <w:marBottom w:val="0"/>
      <w:divBdr>
        <w:top w:val="none" w:sz="0" w:space="0" w:color="auto"/>
        <w:left w:val="none" w:sz="0" w:space="0" w:color="auto"/>
        <w:bottom w:val="none" w:sz="0" w:space="0" w:color="auto"/>
        <w:right w:val="none" w:sz="0" w:space="0" w:color="auto"/>
      </w:divBdr>
    </w:div>
    <w:div w:id="374626452">
      <w:bodyDiv w:val="1"/>
      <w:marLeft w:val="0"/>
      <w:marRight w:val="0"/>
      <w:marTop w:val="0"/>
      <w:marBottom w:val="0"/>
      <w:divBdr>
        <w:top w:val="none" w:sz="0" w:space="0" w:color="auto"/>
        <w:left w:val="none" w:sz="0" w:space="0" w:color="auto"/>
        <w:bottom w:val="none" w:sz="0" w:space="0" w:color="auto"/>
        <w:right w:val="none" w:sz="0" w:space="0" w:color="auto"/>
      </w:divBdr>
      <w:divsChild>
        <w:div w:id="425460797">
          <w:marLeft w:val="446"/>
          <w:marRight w:val="0"/>
          <w:marTop w:val="0"/>
          <w:marBottom w:val="0"/>
          <w:divBdr>
            <w:top w:val="none" w:sz="0" w:space="0" w:color="auto"/>
            <w:left w:val="none" w:sz="0" w:space="0" w:color="auto"/>
            <w:bottom w:val="none" w:sz="0" w:space="0" w:color="auto"/>
            <w:right w:val="none" w:sz="0" w:space="0" w:color="auto"/>
          </w:divBdr>
        </w:div>
      </w:divsChild>
    </w:div>
    <w:div w:id="140510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45943</c:v>
                </c:pt>
                <c:pt idx="1">
                  <c:v>45944</c:v>
                </c:pt>
                <c:pt idx="2">
                  <c:v>45945</c:v>
                </c:pt>
                <c:pt idx="3">
                  <c:v>45946</c:v>
                </c:pt>
                <c:pt idx="4">
                  <c:v>45947</c:v>
                </c:pt>
                <c:pt idx="5">
                  <c:v>45950</c:v>
                </c:pt>
              </c:numCache>
            </c:numRef>
          </c:cat>
          <c:val>
            <c:numRef>
              <c:f>'图表6 在岸、离岸人民币及价差'!$G$5:$G$10</c:f>
              <c:numCache>
                <c:formatCode>0.0000_ </c:formatCode>
                <c:ptCount val="6"/>
                <c:pt idx="0">
                  <c:v>5.3000000000000824E-3</c:v>
                </c:pt>
                <c:pt idx="1">
                  <c:v>-1.1000000000001009E-3</c:v>
                </c:pt>
                <c:pt idx="2">
                  <c:v>6.2999999999995282E-3</c:v>
                </c:pt>
                <c:pt idx="3">
                  <c:v>-3.00000000000189E-4</c:v>
                </c:pt>
                <c:pt idx="4">
                  <c:v>3.9999999999995595E-4</c:v>
                </c:pt>
                <c:pt idx="5">
                  <c:v>1.000000000000334E-3</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45943</c:v>
                </c:pt>
                <c:pt idx="1">
                  <c:v>45944</c:v>
                </c:pt>
                <c:pt idx="2">
                  <c:v>45945</c:v>
                </c:pt>
                <c:pt idx="3">
                  <c:v>45946</c:v>
                </c:pt>
                <c:pt idx="4">
                  <c:v>45947</c:v>
                </c:pt>
                <c:pt idx="5">
                  <c:v>45950</c:v>
                </c:pt>
              </c:numCache>
            </c:numRef>
          </c:cat>
          <c:val>
            <c:numRef>
              <c:f>'图表6 在岸、离岸人民币及价差'!$B$5:$B$10</c:f>
              <c:numCache>
                <c:formatCode>0.0000</c:formatCode>
                <c:ptCount val="6"/>
                <c:pt idx="0">
                  <c:v>7.1329000000000002</c:v>
                </c:pt>
                <c:pt idx="1">
                  <c:v>7.1410999999999998</c:v>
                </c:pt>
                <c:pt idx="2">
                  <c:v>7.1238000000000001</c:v>
                </c:pt>
                <c:pt idx="3">
                  <c:v>7.1249000000000002</c:v>
                </c:pt>
                <c:pt idx="4">
                  <c:v>7.1265000000000001</c:v>
                </c:pt>
                <c:pt idx="5">
                  <c:v>7.1231</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45943</c:v>
                </c:pt>
                <c:pt idx="1">
                  <c:v>45944</c:v>
                </c:pt>
                <c:pt idx="2">
                  <c:v>45945</c:v>
                </c:pt>
                <c:pt idx="3">
                  <c:v>45946</c:v>
                </c:pt>
                <c:pt idx="4">
                  <c:v>45947</c:v>
                </c:pt>
                <c:pt idx="5">
                  <c:v>45950</c:v>
                </c:pt>
              </c:numCache>
            </c:numRef>
          </c:cat>
          <c:val>
            <c:numRef>
              <c:f>'图表6 在岸、离岸人民币及价差'!$E$5:$E$10</c:f>
              <c:numCache>
                <c:formatCode>0.0000</c:formatCode>
                <c:ptCount val="6"/>
                <c:pt idx="0">
                  <c:v>7.1382000000000003</c:v>
                </c:pt>
                <c:pt idx="1">
                  <c:v>7.14</c:v>
                </c:pt>
                <c:pt idx="2">
                  <c:v>7.1300999999999997</c:v>
                </c:pt>
                <c:pt idx="3">
                  <c:v>7.1246</c:v>
                </c:pt>
                <c:pt idx="4">
                  <c:v>7.1269</c:v>
                </c:pt>
                <c:pt idx="5">
                  <c:v>7.1241000000000003</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0C862-6C70-45BC-A7A9-5DA425C7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6</cp:revision>
  <cp:lastPrinted>2024-12-24T02:37:00Z</cp:lastPrinted>
  <dcterms:created xsi:type="dcterms:W3CDTF">2025-10-14T01:10:00Z</dcterms:created>
  <dcterms:modified xsi:type="dcterms:W3CDTF">2025-10-21T01:38:00Z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