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D66980">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76.65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7683430B"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10</w:t>
      </w:r>
      <w:r>
        <w:rPr>
          <w:rFonts w:hint="eastAsia"/>
        </w:rPr>
        <w:t>月</w:t>
      </w:r>
      <w:r w:rsidR="00A861CF">
        <w:t>24</w:t>
      </w:r>
      <w:r>
        <w:rPr>
          <w:rFonts w:hint="eastAsia"/>
        </w:rPr>
        <w:t>日）</w:t>
      </w:r>
      <w:r>
        <w:t>美元兑人民币中间价</w:t>
      </w:r>
      <w:r>
        <w:rPr>
          <w:rFonts w:ascii="宋体" w:hAnsi="宋体" w:cs="宋体"/>
        </w:rPr>
        <w:t>报</w:t>
      </w:r>
      <w:r w:rsidRPr="00076C89">
        <w:rPr>
          <w:rFonts w:ascii="宋体" w:hAnsi="宋体" w:cs="宋体"/>
        </w:rPr>
        <w:t>7.</w:t>
      </w:r>
      <w:r w:rsidR="00D66980">
        <w:rPr>
          <w:rFonts w:ascii="宋体" w:hAnsi="宋体" w:cs="宋体"/>
        </w:rPr>
        <w:t>0928</w:t>
      </w:r>
      <w:r>
        <w:rPr>
          <w:rFonts w:ascii="宋体" w:hAnsi="宋体" w:cs="宋体"/>
        </w:rPr>
        <w:t>，</w:t>
      </w:r>
      <w:r w:rsidR="00A70BD1">
        <w:rPr>
          <w:rFonts w:ascii="宋体" w:hAnsi="宋体" w:cs="宋体" w:hint="eastAsia"/>
        </w:rPr>
        <w:t>调</w:t>
      </w:r>
      <w:r w:rsidR="00D66980">
        <w:rPr>
          <w:rFonts w:ascii="宋体" w:hAnsi="宋体" w:cs="宋体" w:hint="eastAsia"/>
        </w:rPr>
        <w:t>升</w:t>
      </w:r>
      <w:r w:rsidR="00AE61BD">
        <w:rPr>
          <w:rFonts w:ascii="宋体" w:hAnsi="宋体" w:cs="宋体" w:hint="eastAsia"/>
        </w:rPr>
        <w:t>1</w:t>
      </w:r>
      <w:r w:rsidR="00D66980">
        <w:rPr>
          <w:rFonts w:ascii="宋体" w:hAnsi="宋体" w:cs="宋体"/>
        </w:rPr>
        <w:t>0</w:t>
      </w:r>
      <w:r>
        <w:rPr>
          <w:rFonts w:ascii="宋体" w:hAnsi="宋体" w:cs="宋体" w:hint="eastAsia"/>
        </w:rPr>
        <w:t>基点，上周累计调</w:t>
      </w:r>
      <w:r w:rsidR="00C74CBC">
        <w:rPr>
          <w:rFonts w:ascii="宋体" w:hAnsi="宋体" w:cs="宋体" w:hint="eastAsia"/>
        </w:rPr>
        <w:t>降</w:t>
      </w:r>
      <w:r w:rsidR="00D66980">
        <w:rPr>
          <w:rFonts w:ascii="宋体" w:hAnsi="宋体" w:cs="宋体" w:hint="eastAsia"/>
        </w:rPr>
        <w:t>2</w:t>
      </w:r>
      <w:r w:rsidR="00D66980">
        <w:rPr>
          <w:rFonts w:ascii="宋体" w:hAnsi="宋体" w:cs="宋体"/>
        </w:rPr>
        <w:t>1</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AE61BD">
        <w:rPr>
          <w:rFonts w:ascii="宋体" w:hAnsi="宋体" w:cs="宋体" w:hint="eastAsia"/>
        </w:rPr>
        <w:t>涨</w:t>
      </w:r>
      <w:r w:rsidR="00C10509">
        <w:rPr>
          <w:rFonts w:ascii="宋体" w:hAnsi="宋体" w:cs="宋体" w:hint="eastAsia"/>
        </w:rPr>
        <w:t>0</w:t>
      </w:r>
      <w:r w:rsidR="00C10509">
        <w:rPr>
          <w:rFonts w:ascii="宋体" w:hAnsi="宋体" w:cs="宋体"/>
        </w:rPr>
        <w:t>.</w:t>
      </w:r>
      <w:r w:rsidR="00D07670">
        <w:rPr>
          <w:rFonts w:ascii="宋体" w:hAnsi="宋体" w:cs="宋体"/>
        </w:rPr>
        <w:t>0</w:t>
      </w:r>
      <w:r w:rsidR="00D66980">
        <w:rPr>
          <w:rFonts w:ascii="宋体" w:hAnsi="宋体" w:cs="宋体"/>
        </w:rPr>
        <w:t>1</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AE61BD">
        <w:rPr>
          <w:rFonts w:ascii="宋体" w:hAnsi="宋体" w:cs="宋体" w:hint="eastAsia"/>
        </w:rPr>
        <w:t>涨0</w:t>
      </w:r>
      <w:r w:rsidR="00AE61BD">
        <w:rPr>
          <w:rFonts w:ascii="宋体" w:hAnsi="宋体" w:cs="宋体"/>
        </w:rPr>
        <w:t>.0</w:t>
      </w:r>
      <w:r w:rsidR="00D66980">
        <w:rPr>
          <w:rFonts w:ascii="宋体" w:hAnsi="宋体" w:cs="宋体"/>
        </w:rPr>
        <w:t>1</w:t>
      </w:r>
      <w:r w:rsidR="007844B4">
        <w:rPr>
          <w:rFonts w:ascii="宋体" w:hAnsi="宋体" w:cs="宋体"/>
        </w:rPr>
        <w:t>%</w:t>
      </w:r>
      <w:r>
        <w:rPr>
          <w:rFonts w:ascii="宋体" w:hAnsi="宋体" w:cs="宋体" w:hint="eastAsia"/>
        </w:rPr>
        <w:t>。</w:t>
      </w:r>
    </w:p>
    <w:p w14:paraId="2A8620FC" w14:textId="7E83D58E"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671C9F">
        <w:t>2</w:t>
      </w:r>
      <w:r w:rsidR="00905A62">
        <w:t>30</w:t>
      </w:r>
      <w:r>
        <w:t>，</w:t>
      </w:r>
      <w:r>
        <w:rPr>
          <w:rFonts w:hint="eastAsia"/>
        </w:rPr>
        <w:t>美元兑离岸人民币收报</w:t>
      </w:r>
      <w:r>
        <w:rPr>
          <w:rFonts w:hint="eastAsia"/>
        </w:rPr>
        <w:t>7</w:t>
      </w:r>
      <w:r>
        <w:t>.</w:t>
      </w:r>
      <w:r w:rsidR="001938CF">
        <w:t>1</w:t>
      </w:r>
      <w:r w:rsidR="00AE61BD">
        <w:t>26</w:t>
      </w:r>
      <w:r w:rsidR="00905A62">
        <w:t>2</w:t>
      </w:r>
      <w:r>
        <w:rPr>
          <w:rFonts w:hint="eastAsia"/>
        </w:rPr>
        <w:t>，在当周</w:t>
      </w:r>
      <w:r>
        <w:t>分别</w:t>
      </w:r>
      <w:r w:rsidR="00905A62">
        <w:rPr>
          <w:rFonts w:hint="eastAsia"/>
        </w:rPr>
        <w:t>下</w:t>
      </w:r>
      <w:r w:rsidR="00F76960">
        <w:rPr>
          <w:rFonts w:hint="eastAsia"/>
        </w:rPr>
        <w:t>调</w:t>
      </w:r>
      <w:r w:rsidR="00AE61BD">
        <w:t>3</w:t>
      </w:r>
      <w:r w:rsidR="00905A62">
        <w:t>5</w:t>
      </w:r>
      <w:r>
        <w:t>和</w:t>
      </w:r>
      <w:r w:rsidR="00AE61BD">
        <w:rPr>
          <w:rFonts w:hint="eastAsia"/>
        </w:rPr>
        <w:t>下</w:t>
      </w:r>
      <w:r w:rsidR="003576ED">
        <w:rPr>
          <w:rFonts w:hint="eastAsia"/>
        </w:rPr>
        <w:t>调</w:t>
      </w:r>
      <w:r w:rsidR="00905A62">
        <w:rPr>
          <w:rFonts w:hint="eastAsia"/>
        </w:rPr>
        <w:t>7</w:t>
      </w:r>
      <w:r>
        <w:rPr>
          <w:rFonts w:hint="eastAsia"/>
        </w:rPr>
        <w:t>个基点</w:t>
      </w:r>
      <w:r>
        <w:t>。欧元兑人民币报</w:t>
      </w:r>
      <w:r w:rsidR="00F64EF4">
        <w:t>8</w:t>
      </w:r>
      <w:r w:rsidR="00905A62">
        <w:t>.2685</w:t>
      </w:r>
      <w:r>
        <w:t>、英镑兑人民币报</w:t>
      </w:r>
      <w:r w:rsidR="00C66DB1">
        <w:t>9</w:t>
      </w:r>
      <w:r w:rsidR="001F0839">
        <w:t>.</w:t>
      </w:r>
      <w:r w:rsidR="00905A62">
        <w:t>4664</w:t>
      </w:r>
      <w:r w:rsidR="00787BFA">
        <w:rPr>
          <w:rFonts w:hint="eastAsia"/>
        </w:rPr>
        <w:t>、</w:t>
      </w:r>
      <w:r w:rsidR="000959E1">
        <w:rPr>
          <w:rFonts w:hint="eastAsia"/>
        </w:rPr>
        <w:t>日元</w:t>
      </w:r>
      <w:r>
        <w:t>兑</w:t>
      </w:r>
      <w:r w:rsidR="000959E1">
        <w:rPr>
          <w:rFonts w:hint="eastAsia"/>
        </w:rPr>
        <w:t>人民币</w:t>
      </w:r>
      <w:r>
        <w:t>报</w:t>
      </w:r>
      <w:r w:rsidR="001938CF">
        <w:t>4</w:t>
      </w:r>
      <w:r w:rsidR="00905A62">
        <w:t>.6278</w:t>
      </w:r>
      <w:r w:rsidR="000959E1">
        <w:rPr>
          <w:rFonts w:hint="eastAsia"/>
        </w:rPr>
        <w:t>、</w:t>
      </w:r>
      <w:r>
        <w:t>澳元兑人民币报</w:t>
      </w:r>
      <w:r>
        <w:t>4</w:t>
      </w:r>
      <w:r w:rsidR="006B50D4">
        <w:t>.</w:t>
      </w:r>
      <w:r w:rsidR="006466A9">
        <w:t>6</w:t>
      </w:r>
      <w:r w:rsidR="00AE61BD">
        <w:t>068</w:t>
      </w:r>
      <w:r>
        <w:rPr>
          <w:rFonts w:hint="eastAsia"/>
        </w:rPr>
        <w:t>，在当</w:t>
      </w:r>
      <w:r>
        <w:t>周分别</w:t>
      </w:r>
      <w:r w:rsidR="00905A62">
        <w:rPr>
          <w:rFonts w:hint="eastAsia"/>
        </w:rPr>
        <w:t>降</w:t>
      </w:r>
      <w:r w:rsidR="00905A62">
        <w:rPr>
          <w:rFonts w:hint="eastAsia"/>
        </w:rPr>
        <w:t>7</w:t>
      </w:r>
      <w:r w:rsidR="00905A62">
        <w:t>30</w:t>
      </w:r>
      <w:r>
        <w:t>、</w:t>
      </w:r>
      <w:r w:rsidR="00905A62">
        <w:rPr>
          <w:rFonts w:hint="eastAsia"/>
        </w:rPr>
        <w:t>降</w:t>
      </w:r>
      <w:r w:rsidR="00905A62">
        <w:rPr>
          <w:rFonts w:hint="eastAsia"/>
        </w:rPr>
        <w:t>1</w:t>
      </w:r>
      <w:r w:rsidR="00905A62">
        <w:t>004</w:t>
      </w:r>
      <w:r>
        <w:rPr>
          <w:rFonts w:hint="eastAsia"/>
        </w:rPr>
        <w:t>、</w:t>
      </w:r>
      <w:r w:rsidR="00905A62">
        <w:rPr>
          <w:rFonts w:hint="eastAsia"/>
        </w:rPr>
        <w:t>降</w:t>
      </w:r>
      <w:r w:rsidR="00905A62">
        <w:t>979</w:t>
      </w:r>
      <w:r>
        <w:t>和</w:t>
      </w:r>
      <w:r w:rsidR="00905A62">
        <w:rPr>
          <w:rFonts w:hint="eastAsia"/>
        </w:rPr>
        <w:t>升</w:t>
      </w:r>
      <w:r w:rsidR="00905A62">
        <w:rPr>
          <w:rFonts w:hint="eastAsia"/>
        </w:rPr>
        <w:t>2</w:t>
      </w:r>
      <w:r w:rsidR="00905A62">
        <w:t>10</w:t>
      </w:r>
      <w:r>
        <w:rPr>
          <w:rFonts w:hint="eastAsia"/>
        </w:rPr>
        <w:t>个基点</w:t>
      </w:r>
      <w:r>
        <w:t>。</w:t>
      </w:r>
    </w:p>
    <w:p w14:paraId="76AC2601" w14:textId="01EEF1CE" w:rsidR="00CA7296" w:rsidRDefault="007E1257" w:rsidP="00CA7296">
      <w:pPr>
        <w:spacing w:line="312" w:lineRule="auto"/>
        <w:ind w:firstLine="420"/>
      </w:pPr>
      <w:r>
        <w:rPr>
          <w:rFonts w:hint="eastAsia"/>
        </w:rPr>
        <w:t>上周</w:t>
      </w:r>
      <w:r w:rsidRPr="007E1257">
        <w:rPr>
          <w:rFonts w:hint="eastAsia"/>
        </w:rPr>
        <w:t>央行公开市场累计进行了</w:t>
      </w:r>
      <w:r w:rsidR="00AA5486" w:rsidRPr="00AA5486">
        <w:rPr>
          <w:rFonts w:hint="eastAsia"/>
        </w:rPr>
        <w:t>8672</w:t>
      </w:r>
      <w:r w:rsidR="00AA5486" w:rsidRPr="00AA5486">
        <w:rPr>
          <w:rFonts w:hint="eastAsia"/>
        </w:rPr>
        <w:t>亿元</w:t>
      </w:r>
      <w:r w:rsidR="00AA5486" w:rsidRPr="00AA5486">
        <w:rPr>
          <w:rFonts w:hint="eastAsia"/>
        </w:rPr>
        <w:t>7</w:t>
      </w:r>
      <w:r w:rsidR="00AA5486" w:rsidRPr="00AA5486">
        <w:rPr>
          <w:rFonts w:hint="eastAsia"/>
        </w:rPr>
        <w:t>天期逆回购操作，</w:t>
      </w:r>
      <w:r w:rsidR="00AA5486">
        <w:rPr>
          <w:rFonts w:hint="eastAsia"/>
        </w:rPr>
        <w:t>当</w:t>
      </w:r>
      <w:r w:rsidR="00AA5486" w:rsidRPr="00AA5486">
        <w:rPr>
          <w:rFonts w:hint="eastAsia"/>
        </w:rPr>
        <w:t>周央行公开市场有</w:t>
      </w:r>
      <w:r w:rsidR="00AA5486" w:rsidRPr="00AA5486">
        <w:rPr>
          <w:rFonts w:hint="eastAsia"/>
        </w:rPr>
        <w:t>7891</w:t>
      </w:r>
      <w:r w:rsidR="00AA5486" w:rsidRPr="00AA5486">
        <w:rPr>
          <w:rFonts w:hint="eastAsia"/>
        </w:rPr>
        <w:t>亿元逆回购到期，因此净投放</w:t>
      </w:r>
      <w:r w:rsidR="00AA5486" w:rsidRPr="00AA5486">
        <w:rPr>
          <w:rFonts w:hint="eastAsia"/>
        </w:rPr>
        <w:t>781</w:t>
      </w:r>
      <w:r w:rsidR="00AA5486" w:rsidRPr="00AA5486">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A8BB299"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1D1EE7" w:rsidRPr="004237FA">
        <w:rPr>
          <w:rFonts w:ascii="宋体" w:hAnsi="宋体"/>
        </w:rPr>
        <w:t>2025金融街论坛年会开幕，央行行长潘功胜表示，央行将继续坚持支持性的货币政策立场；恢复公开市场国债买卖操作；研究优化数字人民币在货币层次中的定位；研究实施支持个人修复信用的政策措施；加快构建覆盖全面的宏观审慎管理体系，探索在特定情景下向非银机构提供流动性的机制安排；继续打击境内虚拟货币的经营和炒作。</w:t>
      </w:r>
    </w:p>
    <w:p w14:paraId="3316BE34" w14:textId="53C04E4D" w:rsidR="00785749" w:rsidRPr="0011314B" w:rsidRDefault="00CA7296" w:rsidP="0011314B">
      <w:pPr>
        <w:spacing w:line="312" w:lineRule="auto"/>
        <w:ind w:firstLine="420"/>
        <w:rPr>
          <w:rFonts w:ascii="宋体" w:hAnsi="宋体"/>
        </w:rPr>
      </w:pPr>
      <w:r w:rsidRPr="0086476E">
        <w:rPr>
          <w:rFonts w:ascii="宋体" w:hAnsi="宋体" w:hint="eastAsia"/>
        </w:rPr>
        <w:t>2、</w:t>
      </w:r>
      <w:r w:rsidR="001D1EE7" w:rsidRPr="004237FA">
        <w:rPr>
          <w:rFonts w:ascii="宋体" w:hAnsi="宋体" w:hint="eastAsia"/>
        </w:rPr>
        <w:t>国家外汇局近期将聚焦贸易便利化新出台</w:t>
      </w:r>
      <w:r w:rsidR="001D1EE7" w:rsidRPr="004237FA">
        <w:rPr>
          <w:rFonts w:ascii="宋体" w:hAnsi="宋体"/>
        </w:rPr>
        <w:t>9条政策措施，主要是扩大跨境贸易高水平开放试点范围和轧差结算业务种类，优化贸易新业态主体外汇资金结算，放宽服务贸易代垫业务管理等。近期还将发布实施跨国公司本外币一体化资金池、境内企业境外上市资金管理等政策。</w:t>
      </w:r>
    </w:p>
    <w:p w14:paraId="63094CBE" w14:textId="3566C91D"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r w:rsidR="001D1EE7" w:rsidRPr="00E357DF">
        <w:rPr>
          <w:rFonts w:ascii="宋体" w:hAnsi="宋体" w:hint="eastAsia"/>
        </w:rPr>
        <w:t>美国总统特朗普在最新的采访中继续释放缓和信号，暗示大门仍敞开着。特朗普政府正在低调地放松多项关税政策，近几周来已将数十种产品从其所谓的“对等关税”中豁免，并在各国与美国达成贸易协议时提出愿意将更多产品排除在关税之外。此举发生在最高法院将于</w:t>
      </w:r>
      <w:r w:rsidR="001D1EE7" w:rsidRPr="00E357DF">
        <w:rPr>
          <w:rFonts w:ascii="宋体" w:hAnsi="宋体"/>
        </w:rPr>
        <w:t>11月上旬就“对等关税”举行听证会之前——一旦败诉，政府可能被迫退还已征收的大量关税。</w:t>
      </w:r>
    </w:p>
    <w:p w14:paraId="630B9579" w14:textId="6D74F61C"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1D1EE7" w:rsidRPr="0095178C">
        <w:rPr>
          <w:rFonts w:ascii="宋体" w:hAnsi="宋体" w:hint="eastAsia"/>
        </w:rPr>
        <w:t>国际货币基金组织（</w:t>
      </w:r>
      <w:r w:rsidR="001D1EE7" w:rsidRPr="0095178C">
        <w:rPr>
          <w:rFonts w:ascii="宋体" w:hAnsi="宋体"/>
        </w:rPr>
        <w:t>IMF）总裁表示，东盟各国需持续巩固宏观经济基本面，减少官僚主义繁文缛节，并维持充满活力的私营部门，以确保信贷市场健康发展。东盟经济体存在进一步一体化的机遇，具体可通过消除非关税壁垒、协调区域能源部门来实现。此外，格奥尔基耶娃预测，未来几年，全球约40%的工作岗位将受到人工智能影响；在发达经济体中，这一比例约为60%。</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101F1E31" w:rsidR="00CA7296" w:rsidRDefault="00D6698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4D5FA7F" wp14:editId="03F44493">
            <wp:extent cx="3317358" cy="1922402"/>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2929" cy="1931425"/>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70F40535" w:rsidR="00CA7296" w:rsidRDefault="00D66980" w:rsidP="00CA7296">
      <w:pPr>
        <w:spacing w:line="360" w:lineRule="auto"/>
        <w:jc w:val="center"/>
        <w:rPr>
          <w:rFonts w:ascii="宋体" w:hAnsi="宋体"/>
          <w:sz w:val="18"/>
          <w:szCs w:val="18"/>
        </w:rPr>
      </w:pPr>
      <w:r>
        <w:rPr>
          <w:noProof/>
        </w:rPr>
        <w:drawing>
          <wp:inline distT="0" distB="0" distL="0" distR="0" wp14:anchorId="5C78B75E" wp14:editId="1B707698">
            <wp:extent cx="5188689" cy="294167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277" cy="294314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306D54F9" w:rsidR="00CA7296" w:rsidRDefault="00D66980" w:rsidP="00CA7296">
      <w:pPr>
        <w:spacing w:line="360" w:lineRule="auto"/>
        <w:jc w:val="center"/>
        <w:rPr>
          <w:rFonts w:ascii="宋体" w:hAnsi="宋体"/>
          <w:sz w:val="18"/>
          <w:szCs w:val="18"/>
        </w:rPr>
      </w:pPr>
      <w:r>
        <w:rPr>
          <w:noProof/>
        </w:rPr>
        <w:drawing>
          <wp:inline distT="0" distB="0" distL="0" distR="0" wp14:anchorId="6D61A6E0" wp14:editId="49916AC5">
            <wp:extent cx="3344149" cy="191386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2769" cy="1935963"/>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0869826" w:rsidR="00CA7296" w:rsidRDefault="00D66980" w:rsidP="00CA7296">
      <w:pPr>
        <w:jc w:val="center"/>
      </w:pPr>
      <w:r>
        <w:rPr>
          <w:noProof/>
        </w:rPr>
        <w:drawing>
          <wp:inline distT="0" distB="0" distL="0" distR="0" wp14:anchorId="3687B974" wp14:editId="4A11138E">
            <wp:extent cx="5103628" cy="2886075"/>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8305" cy="2888720"/>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6A35ABAF" w:rsidR="00CA7296" w:rsidRDefault="00D66980" w:rsidP="00CA7296">
      <w:pPr>
        <w:jc w:val="center"/>
      </w:pPr>
      <w:r>
        <w:rPr>
          <w:noProof/>
        </w:rPr>
        <w:drawing>
          <wp:inline distT="0" distB="0" distL="0" distR="0" wp14:anchorId="28083F4D" wp14:editId="39021647">
            <wp:extent cx="3955311" cy="2336471"/>
            <wp:effectExtent l="0" t="0" r="762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2928" cy="2346878"/>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201D7CFC">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771A37A9" w:rsidR="00351614" w:rsidRPr="00253827" w:rsidRDefault="001D1EE7" w:rsidP="00351614">
      <w:pPr>
        <w:spacing w:line="312" w:lineRule="auto"/>
        <w:ind w:firstLine="420"/>
        <w:rPr>
          <w:rFonts w:ascii="宋体" w:hAnsi="宋体" w:cs="宋体"/>
        </w:rPr>
      </w:pPr>
      <w:bookmarkStart w:id="0" w:name="_GoBack"/>
      <w:r w:rsidRPr="001D1EE7">
        <w:rPr>
          <w:rFonts w:ascii="宋体" w:hAnsi="宋体" w:cs="宋体" w:hint="eastAsia"/>
        </w:rPr>
        <w:t>最新数据显示，美国9月CPI同比上涨3.0%，略低于市场预期3.1%，核心CPI环比上涨0.2%，租金通胀放缓是主要原因。低于预期的通胀数据强化了市场对美联储宽松政策的押注，市场预估本周会议上美联储将政策利率下调至3.75%-4.00%的可能性接近100%，12月进一步降息的可能性高达95%，甚至1月份再次降息的概率升至55%。此外，上周末中美双方在马来西亚吉隆坡举行的经贸磋商中，就多项重要经贸议题形成初步共识，贸易战好转预期改善。</w:t>
      </w:r>
    </w:p>
    <w:p w14:paraId="455C826C" w14:textId="1B41DD4B" w:rsidR="00BF7D0E" w:rsidRPr="00253827" w:rsidRDefault="001D1EE7" w:rsidP="009807E3">
      <w:pPr>
        <w:spacing w:line="312" w:lineRule="auto"/>
        <w:ind w:firstLine="420"/>
        <w:rPr>
          <w:rFonts w:ascii="宋体" w:hAnsi="宋体" w:cs="宋体"/>
        </w:rPr>
      </w:pPr>
      <w:r w:rsidRPr="001D1EE7">
        <w:rPr>
          <w:rFonts w:ascii="宋体" w:hAnsi="宋体" w:cs="宋体" w:hint="eastAsia"/>
        </w:rPr>
        <w:t>国内端，前三季度我国GDP同比增长5.2%，环比增长1.1%，随着宏观政策“组合拳”加码加力，政策效应持续释放，国民经济顶住压力延续稳中有进发展态势。此外，9月我国出口同比8.3%，进口同比7.4%，远超预期7.1和1.5%，与PMI恢复趋势相一致。但也要注意，11月1日美国对中国进口商品额外关税的最后期限临近，仍可能带来不确定性。综上，我国经济复苏趋势依旧稳固，人民币汇率</w:t>
      </w:r>
      <w:r>
        <w:rPr>
          <w:rFonts w:ascii="宋体" w:hAnsi="宋体" w:cs="宋体" w:hint="eastAsia"/>
        </w:rPr>
        <w:t>在美联储降息的背景下</w:t>
      </w:r>
      <w:r w:rsidR="005E4D72" w:rsidRPr="00253827">
        <w:rPr>
          <w:rFonts w:ascii="宋体" w:hAnsi="宋体" w:cs="宋体" w:hint="eastAsia"/>
        </w:rPr>
        <w:t>料</w:t>
      </w:r>
      <w:r w:rsidR="003265E6" w:rsidRPr="00253827">
        <w:rPr>
          <w:rFonts w:ascii="宋体" w:hAnsi="宋体" w:cs="宋体" w:hint="eastAsia"/>
        </w:rPr>
        <w:t>稳</w:t>
      </w:r>
      <w:r w:rsidR="005E4D72" w:rsidRPr="00253827">
        <w:rPr>
          <w:rFonts w:ascii="宋体" w:hAnsi="宋体" w:cs="宋体" w:hint="eastAsia"/>
        </w:rPr>
        <w:t>中向上</w:t>
      </w:r>
      <w:r w:rsidR="003265E6" w:rsidRPr="00253827">
        <w:rPr>
          <w:rFonts w:ascii="宋体" w:hAnsi="宋体" w:cs="宋体" w:hint="eastAsia"/>
        </w:rPr>
        <w:t>。</w:t>
      </w:r>
    </w:p>
    <w:bookmarkEnd w:id="0"/>
    <w:p w14:paraId="16FCB4C1" w14:textId="77AF1232" w:rsidR="00F954EA" w:rsidRPr="001D1EE7"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FC9E" w14:textId="77777777" w:rsidR="00D42C23" w:rsidRDefault="00D42C23" w:rsidP="00127060">
      <w:r>
        <w:separator/>
      </w:r>
    </w:p>
  </w:endnote>
  <w:endnote w:type="continuationSeparator" w:id="0">
    <w:p w14:paraId="3DB6CC1C" w14:textId="77777777" w:rsidR="00D42C23" w:rsidRDefault="00D42C23"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4EE2C" w14:textId="77777777" w:rsidR="00D42C23" w:rsidRDefault="00D42C23" w:rsidP="00127060">
      <w:r>
        <w:separator/>
      </w:r>
    </w:p>
  </w:footnote>
  <w:footnote w:type="continuationSeparator" w:id="0">
    <w:p w14:paraId="65F6E345" w14:textId="77777777" w:rsidR="00D42C23" w:rsidRDefault="00D42C23"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1EE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E332D"/>
    <w:rsid w:val="004F0C55"/>
    <w:rsid w:val="004F16E7"/>
    <w:rsid w:val="0050173E"/>
    <w:rsid w:val="00505961"/>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60FF"/>
    <w:rsid w:val="007E1257"/>
    <w:rsid w:val="007E4414"/>
    <w:rsid w:val="007F0835"/>
    <w:rsid w:val="007F6420"/>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334F"/>
    <w:rsid w:val="008B5B8F"/>
    <w:rsid w:val="008B5D1D"/>
    <w:rsid w:val="008B7950"/>
    <w:rsid w:val="008C13E8"/>
    <w:rsid w:val="008C1403"/>
    <w:rsid w:val="008C1856"/>
    <w:rsid w:val="008C2303"/>
    <w:rsid w:val="008C495E"/>
    <w:rsid w:val="008C55B1"/>
    <w:rsid w:val="008C58A9"/>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1CF"/>
    <w:rsid w:val="00A867D6"/>
    <w:rsid w:val="00A87B55"/>
    <w:rsid w:val="00A959A4"/>
    <w:rsid w:val="00AA5486"/>
    <w:rsid w:val="00AA73C1"/>
    <w:rsid w:val="00AA7E59"/>
    <w:rsid w:val="00AB2BF2"/>
    <w:rsid w:val="00AB77E4"/>
    <w:rsid w:val="00AB7FCB"/>
    <w:rsid w:val="00AC09FC"/>
    <w:rsid w:val="00AC23F7"/>
    <w:rsid w:val="00AD25D1"/>
    <w:rsid w:val="00AD468C"/>
    <w:rsid w:val="00AE352D"/>
    <w:rsid w:val="00AE3D5D"/>
    <w:rsid w:val="00AE4401"/>
    <w:rsid w:val="00AE5D02"/>
    <w:rsid w:val="00AE61BD"/>
    <w:rsid w:val="00AF4AA5"/>
    <w:rsid w:val="00B158F9"/>
    <w:rsid w:val="00B17CED"/>
    <w:rsid w:val="00B20497"/>
    <w:rsid w:val="00B21983"/>
    <w:rsid w:val="00B25A83"/>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437F"/>
    <w:rsid w:val="00DE5BCE"/>
    <w:rsid w:val="00DF74BC"/>
    <w:rsid w:val="00E0471F"/>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E7345"/>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119E"/>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45950</c:v>
                </c:pt>
                <c:pt idx="1">
                  <c:v>45951</c:v>
                </c:pt>
                <c:pt idx="2">
                  <c:v>45952</c:v>
                </c:pt>
                <c:pt idx="3">
                  <c:v>45953</c:v>
                </c:pt>
                <c:pt idx="4">
                  <c:v>45954</c:v>
                </c:pt>
                <c:pt idx="5">
                  <c:v>45957</c:v>
                </c:pt>
              </c:numCache>
            </c:numRef>
          </c:cat>
          <c:val>
            <c:numRef>
              <c:f>'图表6 在岸、离岸人民币及价差'!$G$5:$G$10</c:f>
              <c:numCache>
                <c:formatCode>0.0000_ </c:formatCode>
                <c:ptCount val="6"/>
                <c:pt idx="0">
                  <c:v>1.000000000000334E-3</c:v>
                </c:pt>
                <c:pt idx="1">
                  <c:v>9.800000000000253E-3</c:v>
                </c:pt>
                <c:pt idx="2">
                  <c:v>1.1999999999998678E-3</c:v>
                </c:pt>
                <c:pt idx="3">
                  <c:v>2.8000000000005798E-3</c:v>
                </c:pt>
                <c:pt idx="4">
                  <c:v>3.1999999999996476E-3</c:v>
                </c:pt>
                <c:pt idx="5">
                  <c:v>-1.8000000000002458E-3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45950</c:v>
                </c:pt>
                <c:pt idx="1">
                  <c:v>45951</c:v>
                </c:pt>
                <c:pt idx="2">
                  <c:v>45952</c:v>
                </c:pt>
                <c:pt idx="3">
                  <c:v>45953</c:v>
                </c:pt>
                <c:pt idx="4">
                  <c:v>45954</c:v>
                </c:pt>
                <c:pt idx="5">
                  <c:v>45957</c:v>
                </c:pt>
              </c:numCache>
            </c:numRef>
          </c:cat>
          <c:val>
            <c:numRef>
              <c:f>'图表6 在岸、离岸人民币及价差'!$B$5:$B$10</c:f>
              <c:numCache>
                <c:formatCode>0.0000</c:formatCode>
                <c:ptCount val="6"/>
                <c:pt idx="0">
                  <c:v>7.1231</c:v>
                </c:pt>
                <c:pt idx="1">
                  <c:v>7.1170999999999998</c:v>
                </c:pt>
                <c:pt idx="2">
                  <c:v>7.1245000000000003</c:v>
                </c:pt>
                <c:pt idx="3">
                  <c:v>7.1220999999999997</c:v>
                </c:pt>
                <c:pt idx="4">
                  <c:v>7.1230000000000002</c:v>
                </c:pt>
                <c:pt idx="5">
                  <c:v>7.1109</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45950</c:v>
                </c:pt>
                <c:pt idx="1">
                  <c:v>45951</c:v>
                </c:pt>
                <c:pt idx="2">
                  <c:v>45952</c:v>
                </c:pt>
                <c:pt idx="3">
                  <c:v>45953</c:v>
                </c:pt>
                <c:pt idx="4">
                  <c:v>45954</c:v>
                </c:pt>
                <c:pt idx="5">
                  <c:v>45957</c:v>
                </c:pt>
              </c:numCache>
            </c:numRef>
          </c:cat>
          <c:val>
            <c:numRef>
              <c:f>'图表6 在岸、离岸人民币及价差'!$E$5:$E$10</c:f>
              <c:numCache>
                <c:formatCode>0.0000</c:formatCode>
                <c:ptCount val="6"/>
                <c:pt idx="0">
                  <c:v>7.1241000000000003</c:v>
                </c:pt>
                <c:pt idx="1">
                  <c:v>7.1269</c:v>
                </c:pt>
                <c:pt idx="2">
                  <c:v>7.1257000000000001</c:v>
                </c:pt>
                <c:pt idx="3">
                  <c:v>7.1249000000000002</c:v>
                </c:pt>
                <c:pt idx="4">
                  <c:v>7.1261999999999999</c:v>
                </c:pt>
                <c:pt idx="5">
                  <c:v>7.1090999999999998</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C0145-4F6D-4C7F-BA93-E39F4AE5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9</cp:revision>
  <cp:lastPrinted>2024-12-24T02:37:00Z</cp:lastPrinted>
  <dcterms:created xsi:type="dcterms:W3CDTF">2025-10-21T01:42:00Z</dcterms:created>
  <dcterms:modified xsi:type="dcterms:W3CDTF">2025-10-28T01:06:00Z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