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9E53EE">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77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38F7DCE0"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C74CBC">
        <w:t>1</w:t>
      </w:r>
      <w:r w:rsidR="003D49D3">
        <w:t>2</w:t>
      </w:r>
      <w:r>
        <w:rPr>
          <w:rFonts w:hint="eastAsia"/>
        </w:rPr>
        <w:t>月</w:t>
      </w:r>
      <w:r w:rsidR="009E53EE">
        <w:t>12</w:t>
      </w:r>
      <w:r>
        <w:rPr>
          <w:rFonts w:hint="eastAsia"/>
        </w:rPr>
        <w:t>日）</w:t>
      </w:r>
      <w:r>
        <w:t>美元兑人民币中间价</w:t>
      </w:r>
      <w:r>
        <w:rPr>
          <w:rFonts w:ascii="宋体" w:hAnsi="宋体" w:cs="宋体"/>
        </w:rPr>
        <w:t>报</w:t>
      </w:r>
      <w:r w:rsidRPr="00076C89">
        <w:rPr>
          <w:rFonts w:ascii="宋体" w:hAnsi="宋体" w:cs="宋体"/>
        </w:rPr>
        <w:t>7.</w:t>
      </w:r>
      <w:r w:rsidR="00D66980">
        <w:rPr>
          <w:rFonts w:ascii="宋体" w:hAnsi="宋体" w:cs="宋体"/>
        </w:rPr>
        <w:t>0</w:t>
      </w:r>
      <w:r w:rsidR="009E53EE">
        <w:rPr>
          <w:rFonts w:ascii="宋体" w:hAnsi="宋体" w:cs="宋体"/>
        </w:rPr>
        <w:t>638</w:t>
      </w:r>
      <w:r>
        <w:rPr>
          <w:rFonts w:ascii="宋体" w:hAnsi="宋体" w:cs="宋体"/>
        </w:rPr>
        <w:t>，</w:t>
      </w:r>
      <w:r w:rsidR="00A70BD1">
        <w:rPr>
          <w:rFonts w:ascii="宋体" w:hAnsi="宋体" w:cs="宋体" w:hint="eastAsia"/>
        </w:rPr>
        <w:t>调</w:t>
      </w:r>
      <w:r w:rsidR="009E53EE">
        <w:rPr>
          <w:rFonts w:ascii="宋体" w:hAnsi="宋体" w:cs="宋体" w:hint="eastAsia"/>
        </w:rPr>
        <w:t>降4</w:t>
      </w:r>
      <w:r w:rsidR="009E53EE">
        <w:rPr>
          <w:rFonts w:ascii="宋体" w:hAnsi="宋体" w:cs="宋体"/>
        </w:rPr>
        <w:t>8</w:t>
      </w:r>
      <w:r>
        <w:rPr>
          <w:rFonts w:ascii="宋体" w:hAnsi="宋体" w:cs="宋体" w:hint="eastAsia"/>
        </w:rPr>
        <w:t>基点，上周累计调</w:t>
      </w:r>
      <w:r w:rsidR="00503735">
        <w:rPr>
          <w:rFonts w:ascii="宋体" w:hAnsi="宋体" w:cs="宋体" w:hint="eastAsia"/>
        </w:rPr>
        <w:t>降</w:t>
      </w:r>
      <w:r w:rsidR="009E53EE">
        <w:rPr>
          <w:rFonts w:ascii="宋体" w:hAnsi="宋体" w:cs="宋体"/>
        </w:rPr>
        <w:t>111</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503735">
        <w:rPr>
          <w:rFonts w:ascii="宋体" w:hAnsi="宋体" w:cs="宋体" w:hint="eastAsia"/>
        </w:rPr>
        <w:t>跌0</w:t>
      </w:r>
      <w:r w:rsidR="00503735">
        <w:rPr>
          <w:rFonts w:ascii="宋体" w:hAnsi="宋体" w:cs="宋体"/>
        </w:rPr>
        <w:t>.</w:t>
      </w:r>
      <w:r w:rsidR="002F5F01">
        <w:rPr>
          <w:rFonts w:ascii="宋体" w:hAnsi="宋体" w:cs="宋体"/>
        </w:rPr>
        <w:t>14</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AF77DE">
        <w:rPr>
          <w:rFonts w:ascii="宋体" w:hAnsi="宋体" w:cs="宋体" w:hint="eastAsia"/>
        </w:rPr>
        <w:t>跌</w:t>
      </w:r>
      <w:r w:rsidR="002D0542">
        <w:rPr>
          <w:rFonts w:ascii="宋体" w:hAnsi="宋体" w:cs="宋体" w:hint="eastAsia"/>
        </w:rPr>
        <w:t>0</w:t>
      </w:r>
      <w:r w:rsidR="002D0542">
        <w:rPr>
          <w:rFonts w:ascii="宋体" w:hAnsi="宋体" w:cs="宋体"/>
        </w:rPr>
        <w:t>.</w:t>
      </w:r>
      <w:r w:rsidR="009C7EF3">
        <w:rPr>
          <w:rFonts w:ascii="宋体" w:hAnsi="宋体" w:cs="宋体"/>
        </w:rPr>
        <w:t>14</w:t>
      </w:r>
      <w:r w:rsidR="007844B4">
        <w:rPr>
          <w:rFonts w:ascii="宋体" w:hAnsi="宋体" w:cs="宋体"/>
        </w:rPr>
        <w:t>%</w:t>
      </w:r>
      <w:r>
        <w:rPr>
          <w:rFonts w:ascii="宋体" w:hAnsi="宋体" w:cs="宋体" w:hint="eastAsia"/>
        </w:rPr>
        <w:t>。</w:t>
      </w:r>
    </w:p>
    <w:p w14:paraId="2A8620FC" w14:textId="351E97CD"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503735">
        <w:t>0</w:t>
      </w:r>
      <w:r w:rsidR="00201728">
        <w:t>554</w:t>
      </w:r>
      <w:r>
        <w:t>，</w:t>
      </w:r>
      <w:r>
        <w:rPr>
          <w:rFonts w:hint="eastAsia"/>
        </w:rPr>
        <w:t>美元兑离岸人民币收报</w:t>
      </w:r>
      <w:r>
        <w:rPr>
          <w:rFonts w:hint="eastAsia"/>
        </w:rPr>
        <w:t>7</w:t>
      </w:r>
      <w:r>
        <w:t>.</w:t>
      </w:r>
      <w:r w:rsidR="00503735">
        <w:t>0</w:t>
      </w:r>
      <w:r w:rsidR="00201728">
        <w:t>535</w:t>
      </w:r>
      <w:r>
        <w:rPr>
          <w:rFonts w:hint="eastAsia"/>
        </w:rPr>
        <w:t>，在当周</w:t>
      </w:r>
      <w:r>
        <w:t>分别</w:t>
      </w:r>
      <w:r w:rsidR="00503735">
        <w:rPr>
          <w:rFonts w:hint="eastAsia"/>
        </w:rPr>
        <w:t>下</w:t>
      </w:r>
      <w:r w:rsidR="00F76960">
        <w:rPr>
          <w:rFonts w:hint="eastAsia"/>
        </w:rPr>
        <w:t>调</w:t>
      </w:r>
      <w:r w:rsidR="00201728">
        <w:t>152</w:t>
      </w:r>
      <w:r>
        <w:t>和</w:t>
      </w:r>
      <w:r w:rsidR="00503735">
        <w:rPr>
          <w:rFonts w:hint="eastAsia"/>
        </w:rPr>
        <w:t>下</w:t>
      </w:r>
      <w:r w:rsidR="003576ED">
        <w:rPr>
          <w:rFonts w:hint="eastAsia"/>
        </w:rPr>
        <w:t>调</w:t>
      </w:r>
      <w:r w:rsidR="00201728">
        <w:rPr>
          <w:rFonts w:hint="eastAsia"/>
        </w:rPr>
        <w:t>1</w:t>
      </w:r>
      <w:r w:rsidR="00201728">
        <w:t>56</w:t>
      </w:r>
      <w:r>
        <w:rPr>
          <w:rFonts w:hint="eastAsia"/>
        </w:rPr>
        <w:t>个基点</w:t>
      </w:r>
      <w:r>
        <w:t>。欧元兑人民币报</w:t>
      </w:r>
      <w:r w:rsidR="00F64EF4">
        <w:t>8</w:t>
      </w:r>
      <w:r w:rsidR="00905A62">
        <w:t>.</w:t>
      </w:r>
      <w:r w:rsidR="008B4D2B">
        <w:t>2</w:t>
      </w:r>
      <w:r w:rsidR="00201728">
        <w:t>849</w:t>
      </w:r>
      <w:r>
        <w:t>、英镑兑人民币报</w:t>
      </w:r>
      <w:r w:rsidR="00C66DB1">
        <w:t>9</w:t>
      </w:r>
      <w:r w:rsidR="00635BA5">
        <w:t>.</w:t>
      </w:r>
      <w:r w:rsidR="008B4D2B">
        <w:t>43</w:t>
      </w:r>
      <w:r w:rsidR="00201728">
        <w:t>94</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9D4FD7">
        <w:t>5</w:t>
      </w:r>
      <w:r w:rsidR="00201728">
        <w:t>268</w:t>
      </w:r>
      <w:r w:rsidR="000959E1">
        <w:rPr>
          <w:rFonts w:hint="eastAsia"/>
        </w:rPr>
        <w:t>、</w:t>
      </w:r>
      <w:r>
        <w:t>澳元兑人民币报</w:t>
      </w:r>
      <w:r>
        <w:t>4</w:t>
      </w:r>
      <w:r w:rsidR="006B50D4">
        <w:t>.</w:t>
      </w:r>
      <w:r w:rsidR="00201728">
        <w:t>7103</w:t>
      </w:r>
      <w:r>
        <w:rPr>
          <w:rFonts w:hint="eastAsia"/>
        </w:rPr>
        <w:t>，在当</w:t>
      </w:r>
      <w:r>
        <w:t>周分别</w:t>
      </w:r>
      <w:r w:rsidR="008B4D2B">
        <w:rPr>
          <w:rFonts w:hint="eastAsia"/>
        </w:rPr>
        <w:t>升</w:t>
      </w:r>
      <w:r w:rsidR="00201728">
        <w:t>486</w:t>
      </w:r>
      <w:r>
        <w:t>、</w:t>
      </w:r>
      <w:r w:rsidR="00405DD6">
        <w:rPr>
          <w:rFonts w:hint="eastAsia"/>
        </w:rPr>
        <w:t>升</w:t>
      </w:r>
      <w:r w:rsidR="00201728">
        <w:t>25</w:t>
      </w:r>
      <w:r>
        <w:rPr>
          <w:rFonts w:hint="eastAsia"/>
        </w:rPr>
        <w:t>、</w:t>
      </w:r>
      <w:r w:rsidR="00201728">
        <w:rPr>
          <w:rFonts w:hint="eastAsia"/>
        </w:rPr>
        <w:t>降</w:t>
      </w:r>
      <w:r w:rsidR="00201728">
        <w:rPr>
          <w:rFonts w:hint="eastAsia"/>
        </w:rPr>
        <w:t>2</w:t>
      </w:r>
      <w:r w:rsidR="00201728">
        <w:t>99</w:t>
      </w:r>
      <w:r>
        <w:t>和</w:t>
      </w:r>
      <w:r w:rsidR="00405DD6">
        <w:rPr>
          <w:rFonts w:hint="eastAsia"/>
        </w:rPr>
        <w:t>升</w:t>
      </w:r>
      <w:r w:rsidR="00201728">
        <w:t>236</w:t>
      </w:r>
      <w:bookmarkStart w:id="0" w:name="_GoBack"/>
      <w:bookmarkEnd w:id="0"/>
      <w:r>
        <w:rPr>
          <w:rFonts w:hint="eastAsia"/>
        </w:rPr>
        <w:t>个基点</w:t>
      </w:r>
      <w:r>
        <w:t>。</w:t>
      </w:r>
    </w:p>
    <w:p w14:paraId="76AC2601" w14:textId="481338D3" w:rsidR="00CA7296" w:rsidRDefault="007E1257" w:rsidP="00CA7296">
      <w:pPr>
        <w:spacing w:line="312" w:lineRule="auto"/>
        <w:ind w:firstLine="420"/>
      </w:pPr>
      <w:r>
        <w:rPr>
          <w:rFonts w:hint="eastAsia"/>
        </w:rPr>
        <w:t>上周</w:t>
      </w:r>
      <w:r w:rsidRPr="007E1257">
        <w:rPr>
          <w:rFonts w:hint="eastAsia"/>
        </w:rPr>
        <w:t>央行公开市场累计进行了</w:t>
      </w:r>
      <w:r w:rsidR="007D5617" w:rsidRPr="007D5617">
        <w:rPr>
          <w:rFonts w:hint="eastAsia"/>
        </w:rPr>
        <w:t>6685</w:t>
      </w:r>
      <w:r w:rsidR="007D5617" w:rsidRPr="007D5617">
        <w:rPr>
          <w:rFonts w:hint="eastAsia"/>
        </w:rPr>
        <w:t>亿元</w:t>
      </w:r>
      <w:r w:rsidR="007D5617" w:rsidRPr="007D5617">
        <w:rPr>
          <w:rFonts w:hint="eastAsia"/>
        </w:rPr>
        <w:t>7</w:t>
      </w:r>
      <w:r w:rsidR="007D5617" w:rsidRPr="007D5617">
        <w:rPr>
          <w:rFonts w:hint="eastAsia"/>
        </w:rPr>
        <w:t>天期逆回购操作，</w:t>
      </w:r>
      <w:r w:rsidR="007D5617">
        <w:rPr>
          <w:rFonts w:hint="eastAsia"/>
        </w:rPr>
        <w:t>当</w:t>
      </w:r>
      <w:r w:rsidR="007D5617" w:rsidRPr="007D5617">
        <w:rPr>
          <w:rFonts w:hint="eastAsia"/>
        </w:rPr>
        <w:t>周央行公开市场有</w:t>
      </w:r>
      <w:r w:rsidR="007D5617" w:rsidRPr="007D5617">
        <w:rPr>
          <w:rFonts w:hint="eastAsia"/>
        </w:rPr>
        <w:t>6638</w:t>
      </w:r>
      <w:r w:rsidR="007D5617" w:rsidRPr="007D5617">
        <w:rPr>
          <w:rFonts w:hint="eastAsia"/>
        </w:rPr>
        <w:t>亿元逆回购到期，因此净投放</w:t>
      </w:r>
      <w:r w:rsidR="007D5617" w:rsidRPr="007D5617">
        <w:rPr>
          <w:rFonts w:hint="eastAsia"/>
        </w:rPr>
        <w:t>47</w:t>
      </w:r>
      <w:r w:rsidR="007D5617" w:rsidRPr="007D5617">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6F3C7FF6"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9C7EF3" w:rsidRPr="009C7EF3">
        <w:rPr>
          <w:rFonts w:ascii="宋体" w:hAnsi="宋体" w:hint="eastAsia"/>
        </w:rPr>
        <w:t>中央经济工作会议在北京举行，定调明年经济工作，强调要继续实施更加积极的财政政策，保持必要的财政赤字、债务总规模和支出总量，重视解决地方财政困难。要继续实施适度宽松的货币政策，灵活高效运用降准降息等多种政策工具。</w:t>
      </w:r>
    </w:p>
    <w:p w14:paraId="3316BE34" w14:textId="510C92E9" w:rsidR="00785749" w:rsidRPr="0011314B" w:rsidRDefault="00CA7296" w:rsidP="0011314B">
      <w:pPr>
        <w:spacing w:line="312" w:lineRule="auto"/>
        <w:ind w:firstLine="420"/>
        <w:rPr>
          <w:rFonts w:ascii="宋体" w:hAnsi="宋体"/>
        </w:rPr>
      </w:pPr>
      <w:r w:rsidRPr="0086476E">
        <w:rPr>
          <w:rFonts w:ascii="宋体" w:hAnsi="宋体" w:hint="eastAsia"/>
        </w:rPr>
        <w:t>2、</w:t>
      </w:r>
      <w:r w:rsidR="009C7EF3" w:rsidRPr="009C7EF3">
        <w:rPr>
          <w:rFonts w:ascii="宋体" w:hAnsi="宋体" w:hint="eastAsia"/>
        </w:rPr>
        <w:t>国际货币基金组织（IMF）表示，尽管面临多重冲击，中国经济仍展现出显著韧性，预计中国经济在2025年和2026年将分别增长5.0%和4.5%。相较10月《世界经济展望》，上述预测值分别上调了0.2个和0.3个百分点。</w:t>
      </w:r>
    </w:p>
    <w:p w14:paraId="0E3CF4D4" w14:textId="7F05E897"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9C7EF3" w:rsidRPr="009C7EF3">
        <w:rPr>
          <w:rFonts w:ascii="宋体" w:hAnsi="宋体" w:hint="eastAsia"/>
        </w:rPr>
        <w:t>美联储威廉姆斯表示，货币政策已为2026年做好充分准备。预计美国失业率将在2025年底降至4.5%。劳动力市场风险已上升，而通胀风险已缓解。美联储的政策已从温紧缩转向中性。预计通胀率将在2026年升至2.5%，2027年降至2%。</w:t>
      </w:r>
    </w:p>
    <w:p w14:paraId="630B9579" w14:textId="2F66ECAA" w:rsidR="00BC01B8" w:rsidRPr="00F44D25" w:rsidRDefault="00BC01B8" w:rsidP="001F0839">
      <w:pPr>
        <w:spacing w:line="312" w:lineRule="auto"/>
        <w:ind w:firstLine="420"/>
        <w:rPr>
          <w:rFonts w:ascii="宋体" w:hAnsi="宋体"/>
        </w:rPr>
      </w:pPr>
      <w:r w:rsidRPr="0086476E">
        <w:rPr>
          <w:rFonts w:ascii="宋体" w:hAnsi="宋体" w:hint="eastAsia"/>
        </w:rPr>
        <w:t>4、</w:t>
      </w:r>
      <w:r w:rsidR="009C7EF3" w:rsidRPr="009C7EF3">
        <w:rPr>
          <w:rFonts w:ascii="宋体" w:hAnsi="宋体" w:hint="eastAsia"/>
        </w:rPr>
        <w:t>美联储货币政策委员会FOMC会后公布，降息25个基点，将联邦基金利率目标区间下调至3.50%–3.75%。这是美联储继9月17日、10月29日降息后年内的第三次降息，幅度均为25个基点。会议声明指出经济温和扩张，就业增长放缓、失业率小幅上升，通胀仍处高位，委员会关注双重使命的双向风险。</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lastRenderedPageBreak/>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0A56485E" w:rsidR="00CA7296" w:rsidRDefault="0004620E"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2B22EFAD" wp14:editId="7F07C2B7">
            <wp:extent cx="4181475" cy="231446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8259" cy="2323758"/>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4D77A6E0" w:rsidR="00CA7296" w:rsidRDefault="002F5F01" w:rsidP="00CA7296">
      <w:pPr>
        <w:spacing w:line="360" w:lineRule="auto"/>
        <w:jc w:val="center"/>
        <w:rPr>
          <w:rFonts w:ascii="宋体" w:hAnsi="宋体"/>
          <w:sz w:val="18"/>
          <w:szCs w:val="18"/>
        </w:rPr>
      </w:pPr>
      <w:r>
        <w:rPr>
          <w:noProof/>
        </w:rPr>
        <w:drawing>
          <wp:inline distT="0" distB="0" distL="0" distR="0" wp14:anchorId="0249ACDB" wp14:editId="1F27734B">
            <wp:extent cx="4962287" cy="25336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3324" cy="2539285"/>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1A90C73C" w:rsidR="00CA7296" w:rsidRPr="00AB4AA6" w:rsidRDefault="0004620E" w:rsidP="00AB4AA6">
      <w:pPr>
        <w:jc w:val="center"/>
      </w:pPr>
      <w:r>
        <w:rPr>
          <w:noProof/>
        </w:rPr>
        <w:drawing>
          <wp:inline distT="0" distB="0" distL="0" distR="0" wp14:anchorId="3F37FD8C" wp14:editId="0A6E77BB">
            <wp:extent cx="4067084" cy="22669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80767" cy="2274577"/>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29D951F9" w:rsidR="00CA7296" w:rsidRDefault="009C7EF3" w:rsidP="00CA7296">
      <w:pPr>
        <w:jc w:val="center"/>
      </w:pPr>
      <w:r>
        <w:rPr>
          <w:noProof/>
        </w:rPr>
        <w:drawing>
          <wp:inline distT="0" distB="0" distL="0" distR="0" wp14:anchorId="112A8325" wp14:editId="158CE7E7">
            <wp:extent cx="4628795" cy="2409825"/>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8266" cy="2414756"/>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6EA9A82E" w:rsidR="00CA7296" w:rsidRDefault="0004620E" w:rsidP="00CA7296">
      <w:pPr>
        <w:jc w:val="center"/>
      </w:pPr>
      <w:r>
        <w:rPr>
          <w:noProof/>
        </w:rPr>
        <w:drawing>
          <wp:inline distT="0" distB="0" distL="0" distR="0" wp14:anchorId="7DA5F00F" wp14:editId="3D46E44F">
            <wp:extent cx="3533775" cy="207957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43515" cy="2085309"/>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01954980">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6FCB4C1" w14:textId="1F48ACC4" w:rsidR="00F954EA" w:rsidRPr="001D1EE7" w:rsidRDefault="008B4D2B" w:rsidP="003F0F9E">
      <w:pPr>
        <w:spacing w:line="312" w:lineRule="auto"/>
        <w:ind w:firstLine="420"/>
        <w:rPr>
          <w:rFonts w:ascii="宋体" w:hAnsi="宋体"/>
        </w:rPr>
      </w:pPr>
      <w:r w:rsidRPr="008B4D2B">
        <w:rPr>
          <w:rFonts w:ascii="宋体" w:hAnsi="宋体" w:cs="宋体" w:hint="eastAsia"/>
        </w:rPr>
        <w:t>最新数据显示，美国上周首次申领失业救济人数录得下滑，美国挑战者企业裁员人数较前值有所下降，但同比增速仍达24%，劳动力市场数据边际改善，但降温趋势延续。</w:t>
      </w:r>
      <w:r w:rsidR="00201728">
        <w:rPr>
          <w:rFonts w:ascii="宋体" w:hAnsi="宋体" w:cs="宋体" w:hint="eastAsia"/>
        </w:rPr>
        <w:t>美联储1</w:t>
      </w:r>
      <w:r w:rsidR="00201728">
        <w:rPr>
          <w:rFonts w:ascii="宋体" w:hAnsi="宋体" w:cs="宋体"/>
        </w:rPr>
        <w:t>2</w:t>
      </w:r>
      <w:r w:rsidR="00201728">
        <w:rPr>
          <w:rFonts w:ascii="宋体" w:hAnsi="宋体" w:cs="宋体" w:hint="eastAsia"/>
        </w:rPr>
        <w:t>月如期</w:t>
      </w:r>
      <w:r w:rsidR="00201728" w:rsidRPr="00201728">
        <w:rPr>
          <w:rFonts w:ascii="宋体" w:hAnsi="宋体" w:cs="宋体" w:hint="eastAsia"/>
        </w:rPr>
        <w:t>降息25个基点，将联邦基金利率目标区间下调至3.50%–3.75%</w:t>
      </w:r>
      <w:r w:rsidR="00201728">
        <w:rPr>
          <w:rFonts w:ascii="宋体" w:hAnsi="宋体" w:cs="宋体" w:hint="eastAsia"/>
        </w:rPr>
        <w:t>，</w:t>
      </w:r>
      <w:r w:rsidR="00201728" w:rsidRPr="00201728">
        <w:rPr>
          <w:rFonts w:ascii="宋体" w:hAnsi="宋体" w:cs="宋体" w:hint="eastAsia"/>
        </w:rPr>
        <w:t>这是美联储继9月17日、10月29日降息后年内的第三次降息，幅度均为25个基点。</w:t>
      </w:r>
      <w:r w:rsidR="0072673E" w:rsidRPr="0072673E">
        <w:rPr>
          <w:rFonts w:ascii="宋体" w:hAnsi="宋体" w:cs="宋体" w:hint="eastAsia"/>
        </w:rPr>
        <w:t>尽管美联储已连续三次会议决定降息，但其内部对于应更担忧通胀还是就业市场，存在“不同寻常的分歧”。这种分歧导致官员们暗示，继续降息的意愿目前并不高。整体而言，本次美联储的降息操作略显鹰派，鲍威尔反复强调未来降息路径的不确定性。</w:t>
      </w:r>
      <w:r w:rsidRPr="008B4D2B">
        <w:rPr>
          <w:rFonts w:ascii="宋体" w:hAnsi="宋体" w:cs="宋体" w:hint="eastAsia"/>
        </w:rPr>
        <w:t>国内端，</w:t>
      </w:r>
      <w:r w:rsidR="00201728">
        <w:rPr>
          <w:rFonts w:ascii="宋体" w:hAnsi="宋体" w:cs="宋体" w:hint="eastAsia"/>
        </w:rPr>
        <w:t>1</w:t>
      </w:r>
      <w:r w:rsidR="00201728">
        <w:rPr>
          <w:rFonts w:ascii="宋体" w:hAnsi="宋体" w:cs="宋体"/>
        </w:rPr>
        <w:t>1</w:t>
      </w:r>
      <w:r w:rsidR="00201728" w:rsidRPr="008B4D2B">
        <w:rPr>
          <w:rFonts w:ascii="宋体" w:hAnsi="宋体" w:cs="宋体" w:hint="eastAsia"/>
        </w:rPr>
        <w:t>月出口同比5.9%，较前值-1.1%以及预期3.8%有了显著改善</w:t>
      </w:r>
      <w:r w:rsidR="00201728">
        <w:rPr>
          <w:rFonts w:ascii="宋体" w:hAnsi="宋体" w:cs="宋体" w:hint="eastAsia"/>
        </w:rPr>
        <w:t>；</w:t>
      </w:r>
      <w:r w:rsidR="00201728" w:rsidRPr="00201728">
        <w:rPr>
          <w:rFonts w:ascii="宋体" w:hAnsi="宋体" w:cs="宋体" w:hint="eastAsia"/>
        </w:rPr>
        <w:t>货物进出口总额38987亿元，同比增长4.1%，比上月加快4.0</w:t>
      </w:r>
      <w:r w:rsidR="00201728">
        <w:rPr>
          <w:rFonts w:ascii="宋体" w:hAnsi="宋体" w:cs="宋体" w:hint="eastAsia"/>
        </w:rPr>
        <w:t>个百分点，亦反映外贸层面改善</w:t>
      </w:r>
      <w:r w:rsidR="00201728" w:rsidRPr="008B4D2B">
        <w:rPr>
          <w:rFonts w:ascii="宋体" w:hAnsi="宋体" w:cs="宋体" w:hint="eastAsia"/>
        </w:rPr>
        <w:t>。</w:t>
      </w:r>
      <w:r w:rsidR="00201728">
        <w:rPr>
          <w:rFonts w:ascii="宋体" w:hAnsi="宋体" w:cs="宋体" w:hint="eastAsia"/>
        </w:rPr>
        <w:t>2</w:t>
      </w:r>
      <w:r w:rsidR="00201728">
        <w:rPr>
          <w:rFonts w:ascii="宋体" w:hAnsi="宋体" w:cs="宋体"/>
        </w:rPr>
        <w:t>025</w:t>
      </w:r>
      <w:r w:rsidR="00201728">
        <w:rPr>
          <w:rFonts w:ascii="宋体" w:hAnsi="宋体" w:cs="宋体" w:hint="eastAsia"/>
        </w:rPr>
        <w:t>年中央经济工作</w:t>
      </w:r>
      <w:r w:rsidR="00201728" w:rsidRPr="00201728">
        <w:rPr>
          <w:rFonts w:ascii="宋体" w:hAnsi="宋体" w:cs="宋体" w:hint="eastAsia"/>
        </w:rPr>
        <w:t>会议将内需问题放在重点任务第一顺位</w:t>
      </w:r>
      <w:r w:rsidR="00201728">
        <w:rPr>
          <w:rFonts w:ascii="宋体" w:hAnsi="宋体" w:cs="宋体" w:hint="eastAsia"/>
        </w:rPr>
        <w:t>，</w:t>
      </w:r>
      <w:r w:rsidR="00201728" w:rsidRPr="00201728">
        <w:rPr>
          <w:rFonts w:ascii="宋体" w:hAnsi="宋体" w:cs="宋体" w:hint="eastAsia"/>
        </w:rPr>
        <w:t>凸显其重要性</w:t>
      </w:r>
      <w:r w:rsidR="00201728">
        <w:rPr>
          <w:rFonts w:ascii="宋体" w:hAnsi="宋体" w:cs="宋体" w:hint="eastAsia"/>
        </w:rPr>
        <w:t>，</w:t>
      </w:r>
      <w:r w:rsidR="00201728" w:rsidRPr="00201728">
        <w:rPr>
          <w:rFonts w:ascii="宋体" w:hAnsi="宋体" w:cs="宋体" w:hint="eastAsia"/>
        </w:rPr>
        <w:t>明年预计扩内需政策将持续加码，范围、品类料进一步扩大。</w:t>
      </w:r>
      <w:r w:rsidR="00201728">
        <w:rPr>
          <w:rFonts w:ascii="宋体" w:hAnsi="宋体" w:cs="宋体" w:hint="eastAsia"/>
        </w:rPr>
        <w:t>在此背景下，需求端有望持续改善，带动外贸好转。</w:t>
      </w:r>
      <w:r w:rsidRPr="008B4D2B">
        <w:rPr>
          <w:rFonts w:ascii="宋体" w:hAnsi="宋体" w:cs="宋体" w:hint="eastAsia"/>
        </w:rPr>
        <w:t>短期内美国经济摇摆不定，人民币汇率大概率将区间波动，长期料稳中向上。</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A6254" w14:textId="77777777" w:rsidR="00800E28" w:rsidRDefault="00800E28" w:rsidP="00127060">
      <w:r>
        <w:separator/>
      </w:r>
    </w:p>
  </w:endnote>
  <w:endnote w:type="continuationSeparator" w:id="0">
    <w:p w14:paraId="6EB030A6" w14:textId="77777777" w:rsidR="00800E28" w:rsidRDefault="00800E28"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339B" w14:textId="77777777" w:rsidR="00800E28" w:rsidRDefault="00800E28" w:rsidP="00127060">
      <w:r>
        <w:separator/>
      </w:r>
    </w:p>
  </w:footnote>
  <w:footnote w:type="continuationSeparator" w:id="0">
    <w:p w14:paraId="713E731F" w14:textId="77777777" w:rsidR="00800E28" w:rsidRDefault="00800E28"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0F72AD"/>
    <w:rsid w:val="00100296"/>
    <w:rsid w:val="0011314B"/>
    <w:rsid w:val="00113D9E"/>
    <w:rsid w:val="00115730"/>
    <w:rsid w:val="0012070F"/>
    <w:rsid w:val="00125BEA"/>
    <w:rsid w:val="00127060"/>
    <w:rsid w:val="001359F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9DE"/>
    <w:rsid w:val="001B6505"/>
    <w:rsid w:val="001C598E"/>
    <w:rsid w:val="001C7A4C"/>
    <w:rsid w:val="001C7CB7"/>
    <w:rsid w:val="001D1EE7"/>
    <w:rsid w:val="001D5BF6"/>
    <w:rsid w:val="001F0839"/>
    <w:rsid w:val="001F0B8B"/>
    <w:rsid w:val="001F3157"/>
    <w:rsid w:val="001F4E90"/>
    <w:rsid w:val="001F6D4B"/>
    <w:rsid w:val="00201728"/>
    <w:rsid w:val="0020319F"/>
    <w:rsid w:val="002041D1"/>
    <w:rsid w:val="0020501F"/>
    <w:rsid w:val="0020541A"/>
    <w:rsid w:val="00212B3D"/>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F3C"/>
    <w:rsid w:val="002779DB"/>
    <w:rsid w:val="0028510B"/>
    <w:rsid w:val="0028572C"/>
    <w:rsid w:val="00290F42"/>
    <w:rsid w:val="00296492"/>
    <w:rsid w:val="002A359F"/>
    <w:rsid w:val="002A79EF"/>
    <w:rsid w:val="002C2324"/>
    <w:rsid w:val="002C346F"/>
    <w:rsid w:val="002C4410"/>
    <w:rsid w:val="002C6293"/>
    <w:rsid w:val="002C7B4F"/>
    <w:rsid w:val="002D0542"/>
    <w:rsid w:val="002D1AA3"/>
    <w:rsid w:val="002D2D54"/>
    <w:rsid w:val="002D49D0"/>
    <w:rsid w:val="002D4E21"/>
    <w:rsid w:val="002D62A9"/>
    <w:rsid w:val="002E0B93"/>
    <w:rsid w:val="002E39E8"/>
    <w:rsid w:val="002E48D7"/>
    <w:rsid w:val="002E48FF"/>
    <w:rsid w:val="002F5F01"/>
    <w:rsid w:val="002F6580"/>
    <w:rsid w:val="00300223"/>
    <w:rsid w:val="00301549"/>
    <w:rsid w:val="003041AA"/>
    <w:rsid w:val="00304D86"/>
    <w:rsid w:val="00304DF8"/>
    <w:rsid w:val="003066A3"/>
    <w:rsid w:val="003070DC"/>
    <w:rsid w:val="00310347"/>
    <w:rsid w:val="00311DD7"/>
    <w:rsid w:val="00312B57"/>
    <w:rsid w:val="00324293"/>
    <w:rsid w:val="003265E6"/>
    <w:rsid w:val="00326BE8"/>
    <w:rsid w:val="00336209"/>
    <w:rsid w:val="00341353"/>
    <w:rsid w:val="00343540"/>
    <w:rsid w:val="00343C8A"/>
    <w:rsid w:val="00350819"/>
    <w:rsid w:val="00351614"/>
    <w:rsid w:val="0035301A"/>
    <w:rsid w:val="003576ED"/>
    <w:rsid w:val="00357828"/>
    <w:rsid w:val="00363129"/>
    <w:rsid w:val="0036506F"/>
    <w:rsid w:val="003665FF"/>
    <w:rsid w:val="0036685A"/>
    <w:rsid w:val="00371BC0"/>
    <w:rsid w:val="00377B85"/>
    <w:rsid w:val="003903E1"/>
    <w:rsid w:val="00392306"/>
    <w:rsid w:val="00397D8C"/>
    <w:rsid w:val="003A2616"/>
    <w:rsid w:val="003A4CF3"/>
    <w:rsid w:val="003A7F2C"/>
    <w:rsid w:val="003B49D5"/>
    <w:rsid w:val="003C55CB"/>
    <w:rsid w:val="003D2210"/>
    <w:rsid w:val="003D3AF3"/>
    <w:rsid w:val="003D3DB8"/>
    <w:rsid w:val="003D49D3"/>
    <w:rsid w:val="003D7A03"/>
    <w:rsid w:val="003E0E92"/>
    <w:rsid w:val="003E1D2F"/>
    <w:rsid w:val="003E2D6E"/>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56F6E"/>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0BD3"/>
    <w:rsid w:val="004C131F"/>
    <w:rsid w:val="004C243D"/>
    <w:rsid w:val="004D283C"/>
    <w:rsid w:val="004D75A9"/>
    <w:rsid w:val="004E10AA"/>
    <w:rsid w:val="004E22E6"/>
    <w:rsid w:val="004E332D"/>
    <w:rsid w:val="004F0C55"/>
    <w:rsid w:val="004F16E7"/>
    <w:rsid w:val="0050173E"/>
    <w:rsid w:val="00503735"/>
    <w:rsid w:val="00505961"/>
    <w:rsid w:val="00505DD6"/>
    <w:rsid w:val="00506D2A"/>
    <w:rsid w:val="00511152"/>
    <w:rsid w:val="0051618C"/>
    <w:rsid w:val="00537CF9"/>
    <w:rsid w:val="0055205C"/>
    <w:rsid w:val="00571EBF"/>
    <w:rsid w:val="00574E1F"/>
    <w:rsid w:val="00583AD9"/>
    <w:rsid w:val="00585144"/>
    <w:rsid w:val="005B0999"/>
    <w:rsid w:val="005B127B"/>
    <w:rsid w:val="005B6BB0"/>
    <w:rsid w:val="005D4042"/>
    <w:rsid w:val="005D591B"/>
    <w:rsid w:val="005D6040"/>
    <w:rsid w:val="005E4D72"/>
    <w:rsid w:val="005E791A"/>
    <w:rsid w:val="005F55A3"/>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442E"/>
    <w:rsid w:val="00655606"/>
    <w:rsid w:val="00655FE4"/>
    <w:rsid w:val="006603DF"/>
    <w:rsid w:val="0066318A"/>
    <w:rsid w:val="00671429"/>
    <w:rsid w:val="00671C9F"/>
    <w:rsid w:val="00673FAC"/>
    <w:rsid w:val="006938C5"/>
    <w:rsid w:val="006A2C2A"/>
    <w:rsid w:val="006A35D1"/>
    <w:rsid w:val="006A3F5D"/>
    <w:rsid w:val="006A584F"/>
    <w:rsid w:val="006B50D4"/>
    <w:rsid w:val="006B685C"/>
    <w:rsid w:val="006C158F"/>
    <w:rsid w:val="006C1898"/>
    <w:rsid w:val="006D339B"/>
    <w:rsid w:val="006E2C2D"/>
    <w:rsid w:val="006E5C84"/>
    <w:rsid w:val="006E7ABA"/>
    <w:rsid w:val="006F53BF"/>
    <w:rsid w:val="006F775F"/>
    <w:rsid w:val="00710E4C"/>
    <w:rsid w:val="0071470E"/>
    <w:rsid w:val="00715E21"/>
    <w:rsid w:val="00716E5A"/>
    <w:rsid w:val="0072465D"/>
    <w:rsid w:val="00724724"/>
    <w:rsid w:val="0072673E"/>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306EA"/>
    <w:rsid w:val="0083623C"/>
    <w:rsid w:val="00844DA7"/>
    <w:rsid w:val="008461BD"/>
    <w:rsid w:val="00847CAE"/>
    <w:rsid w:val="00852D32"/>
    <w:rsid w:val="00852FAF"/>
    <w:rsid w:val="00853402"/>
    <w:rsid w:val="00854449"/>
    <w:rsid w:val="008575F1"/>
    <w:rsid w:val="0086476E"/>
    <w:rsid w:val="008663E7"/>
    <w:rsid w:val="0087172E"/>
    <w:rsid w:val="00881976"/>
    <w:rsid w:val="00882F85"/>
    <w:rsid w:val="00886C14"/>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856"/>
    <w:rsid w:val="008C2303"/>
    <w:rsid w:val="008C495E"/>
    <w:rsid w:val="008C55B1"/>
    <w:rsid w:val="008C58A9"/>
    <w:rsid w:val="008C70C0"/>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3D02"/>
    <w:rsid w:val="009C7D4B"/>
    <w:rsid w:val="009C7EF3"/>
    <w:rsid w:val="009D128B"/>
    <w:rsid w:val="009D18C0"/>
    <w:rsid w:val="009D1C60"/>
    <w:rsid w:val="009D2952"/>
    <w:rsid w:val="009D30D7"/>
    <w:rsid w:val="009D3BE6"/>
    <w:rsid w:val="009D4FD7"/>
    <w:rsid w:val="009D594C"/>
    <w:rsid w:val="009E0B4C"/>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1118"/>
    <w:rsid w:val="00A84ED5"/>
    <w:rsid w:val="00A861CF"/>
    <w:rsid w:val="00A867D6"/>
    <w:rsid w:val="00A87B55"/>
    <w:rsid w:val="00A959A4"/>
    <w:rsid w:val="00AA5486"/>
    <w:rsid w:val="00AA73C1"/>
    <w:rsid w:val="00AA7E59"/>
    <w:rsid w:val="00AB2476"/>
    <w:rsid w:val="00AB2BF2"/>
    <w:rsid w:val="00AB4AA6"/>
    <w:rsid w:val="00AB77E4"/>
    <w:rsid w:val="00AB7FCB"/>
    <w:rsid w:val="00AC09FC"/>
    <w:rsid w:val="00AC23F7"/>
    <w:rsid w:val="00AD25D1"/>
    <w:rsid w:val="00AD468C"/>
    <w:rsid w:val="00AE352D"/>
    <w:rsid w:val="00AE3D5D"/>
    <w:rsid w:val="00AE4401"/>
    <w:rsid w:val="00AE5D02"/>
    <w:rsid w:val="00AE61BD"/>
    <w:rsid w:val="00AF4AA5"/>
    <w:rsid w:val="00AF77DE"/>
    <w:rsid w:val="00B158F9"/>
    <w:rsid w:val="00B17CED"/>
    <w:rsid w:val="00B20497"/>
    <w:rsid w:val="00B21983"/>
    <w:rsid w:val="00B25A83"/>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2CD6"/>
    <w:rsid w:val="00C45349"/>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07670"/>
    <w:rsid w:val="00D104E8"/>
    <w:rsid w:val="00D12EAC"/>
    <w:rsid w:val="00D13805"/>
    <w:rsid w:val="00D143D7"/>
    <w:rsid w:val="00D22BF7"/>
    <w:rsid w:val="00D276C0"/>
    <w:rsid w:val="00D276C9"/>
    <w:rsid w:val="00D27DFE"/>
    <w:rsid w:val="00D3039F"/>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C342B"/>
    <w:rsid w:val="00DD3375"/>
    <w:rsid w:val="00DE437F"/>
    <w:rsid w:val="00DE5BCE"/>
    <w:rsid w:val="00DF74BC"/>
    <w:rsid w:val="00E0471F"/>
    <w:rsid w:val="00E07DDD"/>
    <w:rsid w:val="00E1301A"/>
    <w:rsid w:val="00E136F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46006</c:v>
                </c:pt>
                <c:pt idx="1">
                  <c:v>46003</c:v>
                </c:pt>
                <c:pt idx="2">
                  <c:v>46002</c:v>
                </c:pt>
                <c:pt idx="3">
                  <c:v>46001</c:v>
                </c:pt>
                <c:pt idx="4">
                  <c:v>46000</c:v>
                </c:pt>
                <c:pt idx="5">
                  <c:v>45999</c:v>
                </c:pt>
              </c:numCache>
            </c:numRef>
          </c:cat>
          <c:val>
            <c:numRef>
              <c:f>价差!$D$7:$D$12</c:f>
              <c:numCache>
                <c:formatCode>0.0000_ </c:formatCode>
                <c:ptCount val="6"/>
                <c:pt idx="0">
                  <c:v>7.1000000000003283E-3</c:v>
                </c:pt>
                <c:pt idx="1">
                  <c:v>1.9000000000000128E-3</c:v>
                </c:pt>
                <c:pt idx="2">
                  <c:v>6.8999999999999062E-3</c:v>
                </c:pt>
                <c:pt idx="3">
                  <c:v>3.4000000000000696E-3</c:v>
                </c:pt>
                <c:pt idx="4">
                  <c:v>9.100000000000108E-3</c:v>
                </c:pt>
                <c:pt idx="5">
                  <c:v>-6.0000000000037801E-4</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46006</c:v>
                </c:pt>
                <c:pt idx="1">
                  <c:v>46003</c:v>
                </c:pt>
                <c:pt idx="2">
                  <c:v>46002</c:v>
                </c:pt>
                <c:pt idx="3">
                  <c:v>46001</c:v>
                </c:pt>
                <c:pt idx="4">
                  <c:v>46000</c:v>
                </c:pt>
                <c:pt idx="5">
                  <c:v>45999</c:v>
                </c:pt>
              </c:numCache>
            </c:numRef>
          </c:cat>
          <c:val>
            <c:numRef>
              <c:f>价差!$B$7:$B$12</c:f>
              <c:numCache>
                <c:formatCode>0.0000</c:formatCode>
                <c:ptCount val="6"/>
                <c:pt idx="0">
                  <c:v>7.0505000000000004</c:v>
                </c:pt>
                <c:pt idx="1">
                  <c:v>7.0553999999999997</c:v>
                </c:pt>
                <c:pt idx="2">
                  <c:v>7.0579999999999998</c:v>
                </c:pt>
                <c:pt idx="3">
                  <c:v>7.0637999999999996</c:v>
                </c:pt>
                <c:pt idx="4">
                  <c:v>7.0693000000000001</c:v>
                </c:pt>
                <c:pt idx="5">
                  <c:v>7.0712999999999999</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46006</c:v>
                </c:pt>
                <c:pt idx="1">
                  <c:v>46003</c:v>
                </c:pt>
                <c:pt idx="2">
                  <c:v>46002</c:v>
                </c:pt>
                <c:pt idx="3">
                  <c:v>46001</c:v>
                </c:pt>
                <c:pt idx="4">
                  <c:v>46000</c:v>
                </c:pt>
                <c:pt idx="5">
                  <c:v>45999</c:v>
                </c:pt>
              </c:numCache>
            </c:numRef>
          </c:cat>
          <c:val>
            <c:numRef>
              <c:f>价差!$C$7:$C$12</c:f>
              <c:numCache>
                <c:formatCode>0.0000</c:formatCode>
                <c:ptCount val="6"/>
                <c:pt idx="0">
                  <c:v>7.0434000000000001</c:v>
                </c:pt>
                <c:pt idx="1">
                  <c:v>7.0534999999999997</c:v>
                </c:pt>
                <c:pt idx="2">
                  <c:v>7.0510999999999999</c:v>
                </c:pt>
                <c:pt idx="3">
                  <c:v>7.0603999999999996</c:v>
                </c:pt>
                <c:pt idx="4">
                  <c:v>7.0602</c:v>
                </c:pt>
                <c:pt idx="5">
                  <c:v>7.0719000000000003</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5548-4F5D-4338-B696-C8435C44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2024-12-24T02:37:00Z</cp:lastPrinted>
  <dcterms:created xsi:type="dcterms:W3CDTF">2025-12-09T01:28:00Z</dcterms:created>
  <dcterms:modified xsi:type="dcterms:W3CDTF">2025-12-16T01:36:00Z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