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B32E5A">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48AEBFA5" w:rsidR="00CA7296" w:rsidRPr="00AA5ABE" w:rsidRDefault="00CA7296" w:rsidP="00CA7296">
      <w:pPr>
        <w:spacing w:line="312" w:lineRule="auto"/>
        <w:ind w:firstLine="420"/>
        <w:rPr>
          <w:rFonts w:ascii="宋体" w:hAnsi="宋体"/>
        </w:rPr>
      </w:pPr>
      <w:r>
        <w:t>周</w:t>
      </w:r>
      <w:r w:rsidR="00DC6E76">
        <w:rPr>
          <w:rFonts w:hint="eastAsia"/>
        </w:rPr>
        <w:t>四</w:t>
      </w:r>
      <w:r>
        <w:rPr>
          <w:rFonts w:hint="eastAsia"/>
        </w:rPr>
        <w:t>（</w:t>
      </w:r>
      <w:r w:rsidR="007256FB">
        <w:t>6</w:t>
      </w:r>
      <w:r>
        <w:rPr>
          <w:rFonts w:hint="eastAsia"/>
        </w:rPr>
        <w:t>月</w:t>
      </w:r>
      <w:r w:rsidR="005717C4">
        <w:rPr>
          <w:rFonts w:hint="eastAsia"/>
        </w:rPr>
        <w:t>1</w:t>
      </w:r>
      <w:r w:rsidR="00DC6E76">
        <w:t>8</w:t>
      </w:r>
      <w:r>
        <w:rPr>
          <w:rFonts w:hint="eastAsia"/>
        </w:rPr>
        <w:t>日）</w:t>
      </w:r>
      <w:r>
        <w:t>美元兑人民币中间价</w:t>
      </w:r>
      <w:r>
        <w:rPr>
          <w:rFonts w:ascii="宋体" w:hAnsi="宋体" w:cs="宋体"/>
        </w:rPr>
        <w:t>报</w:t>
      </w:r>
      <w:r w:rsidR="002D37D1">
        <w:rPr>
          <w:rFonts w:ascii="宋体" w:hAnsi="宋体" w:cs="宋体"/>
        </w:rPr>
        <w:t>6.</w:t>
      </w:r>
      <w:r w:rsidR="00EF1A60">
        <w:rPr>
          <w:rFonts w:ascii="宋体" w:hAnsi="宋体" w:cs="宋体"/>
        </w:rPr>
        <w:t>8</w:t>
      </w:r>
      <w:r w:rsidR="00154921">
        <w:rPr>
          <w:rFonts w:ascii="宋体" w:hAnsi="宋体" w:cs="宋体"/>
        </w:rPr>
        <w:t>1</w:t>
      </w:r>
      <w:r w:rsidR="00DC6E76">
        <w:rPr>
          <w:rFonts w:ascii="宋体" w:hAnsi="宋体" w:cs="宋体"/>
        </w:rPr>
        <w:t>30</w:t>
      </w:r>
      <w:r>
        <w:rPr>
          <w:rFonts w:ascii="宋体" w:hAnsi="宋体" w:cs="宋体"/>
        </w:rPr>
        <w:t>，</w:t>
      </w:r>
      <w:r w:rsidR="00E648F1">
        <w:rPr>
          <w:rFonts w:ascii="宋体" w:hAnsi="宋体" w:cs="宋体" w:hint="eastAsia"/>
        </w:rPr>
        <w:t>调</w:t>
      </w:r>
      <w:r w:rsidR="00DC6E76">
        <w:rPr>
          <w:rFonts w:ascii="宋体" w:hAnsi="宋体" w:cs="宋体" w:hint="eastAsia"/>
        </w:rPr>
        <w:t>升3</w:t>
      </w:r>
      <w:r w:rsidR="00DC6E76">
        <w:rPr>
          <w:rFonts w:ascii="宋体" w:hAnsi="宋体" w:cs="宋体"/>
        </w:rPr>
        <w:t>4</w:t>
      </w:r>
      <w:r w:rsidR="00E648F1">
        <w:rPr>
          <w:rFonts w:ascii="宋体" w:hAnsi="宋体" w:cs="宋体" w:hint="eastAsia"/>
        </w:rPr>
        <w:t>个基点</w:t>
      </w:r>
      <w:r>
        <w:rPr>
          <w:rFonts w:ascii="宋体" w:hAnsi="宋体" w:cs="宋体" w:hint="eastAsia"/>
        </w:rPr>
        <w:t>，累计调</w:t>
      </w:r>
      <w:r w:rsidR="00EF1A60">
        <w:rPr>
          <w:rFonts w:ascii="宋体" w:hAnsi="宋体" w:cs="宋体" w:hint="eastAsia"/>
        </w:rPr>
        <w:t>降</w:t>
      </w:r>
      <w:r w:rsidR="00DC6E76">
        <w:rPr>
          <w:rFonts w:ascii="宋体" w:hAnsi="宋体" w:cs="宋体" w:hint="eastAsia"/>
        </w:rPr>
        <w:t>2</w:t>
      </w:r>
      <w:r w:rsidR="00DC6E76">
        <w:rPr>
          <w:rFonts w:ascii="宋体" w:hAnsi="宋体" w:cs="宋体"/>
        </w:rPr>
        <w:t>0</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w:t>
      </w:r>
      <w:r w:rsidR="00DA57EA">
        <w:rPr>
          <w:rFonts w:ascii="宋体" w:hAnsi="宋体"/>
        </w:rPr>
        <w:t>6</w:t>
      </w:r>
      <w:r w:rsidRPr="00AA5ABE">
        <w:rPr>
          <w:rFonts w:ascii="宋体" w:hAnsi="宋体" w:hint="eastAsia"/>
        </w:rPr>
        <w:t>收</w:t>
      </w:r>
      <w:r w:rsidR="00551601">
        <w:rPr>
          <w:rFonts w:ascii="宋体" w:hAnsi="宋体" w:hint="eastAsia"/>
        </w:rPr>
        <w:t>跌</w:t>
      </w:r>
      <w:r w:rsidR="0051119D">
        <w:rPr>
          <w:rFonts w:ascii="宋体" w:hAnsi="宋体" w:hint="eastAsia"/>
        </w:rPr>
        <w:t>0</w:t>
      </w:r>
      <w:r w:rsidR="0051119D">
        <w:rPr>
          <w:rFonts w:ascii="宋体" w:hAnsi="宋体"/>
        </w:rPr>
        <w:t>.</w:t>
      </w:r>
      <w:r w:rsidR="00CD2629">
        <w:rPr>
          <w:rFonts w:ascii="宋体" w:hAnsi="宋体"/>
        </w:rPr>
        <w:t>0</w:t>
      </w:r>
      <w:r w:rsidR="003B3A79">
        <w:rPr>
          <w:rFonts w:ascii="宋体" w:hAnsi="宋体"/>
        </w:rPr>
        <w:t>7</w:t>
      </w:r>
      <w:r w:rsidR="00FB6956">
        <w:rPr>
          <w:rFonts w:ascii="宋体" w:hAnsi="宋体"/>
        </w:rPr>
        <w:t>%</w:t>
      </w:r>
      <w:r w:rsidR="00EF1A60">
        <w:rPr>
          <w:rFonts w:ascii="宋体" w:hAnsi="宋体" w:hint="eastAsia"/>
        </w:rPr>
        <w:t>，</w:t>
      </w:r>
      <w:r w:rsidRPr="00AA5ABE">
        <w:rPr>
          <w:rFonts w:ascii="宋体" w:hAnsi="宋体" w:hint="eastAsia"/>
        </w:rPr>
        <w:t>新交所美元兑离岸人民币期货主力合约</w:t>
      </w:r>
      <w:r w:rsidRPr="00AA5ABE">
        <w:rPr>
          <w:rFonts w:ascii="宋体" w:hAnsi="宋体"/>
        </w:rPr>
        <w:t>UC</w:t>
      </w:r>
      <w:r w:rsidR="00DA57EA">
        <w:rPr>
          <w:rFonts w:ascii="宋体" w:hAnsi="宋体"/>
        </w:rPr>
        <w:t>M</w:t>
      </w:r>
      <w:r w:rsidR="00AA5ABE" w:rsidRPr="00AA5ABE">
        <w:rPr>
          <w:rFonts w:ascii="宋体" w:hAnsi="宋体"/>
        </w:rPr>
        <w:t>26</w:t>
      </w:r>
      <w:r w:rsidRPr="00AA5ABE">
        <w:rPr>
          <w:rFonts w:ascii="宋体" w:hAnsi="宋体" w:hint="eastAsia"/>
        </w:rPr>
        <w:t>收</w:t>
      </w:r>
      <w:r w:rsidR="003B3A79">
        <w:rPr>
          <w:rFonts w:ascii="宋体" w:hAnsi="宋体" w:hint="eastAsia"/>
        </w:rPr>
        <w:t>涨</w:t>
      </w:r>
      <w:r w:rsidR="0051119D">
        <w:rPr>
          <w:rFonts w:ascii="宋体" w:hAnsi="宋体" w:hint="eastAsia"/>
        </w:rPr>
        <w:t>0</w:t>
      </w:r>
      <w:r w:rsidR="0051119D">
        <w:rPr>
          <w:rFonts w:ascii="宋体" w:hAnsi="宋体"/>
        </w:rPr>
        <w:t>.</w:t>
      </w:r>
      <w:r w:rsidR="00551601">
        <w:rPr>
          <w:rFonts w:ascii="宋体" w:hAnsi="宋体"/>
        </w:rPr>
        <w:t>4</w:t>
      </w:r>
      <w:r w:rsidR="003B3A79">
        <w:rPr>
          <w:rFonts w:ascii="宋体" w:hAnsi="宋体"/>
        </w:rPr>
        <w:t>8</w:t>
      </w:r>
      <w:r w:rsidR="007844B4" w:rsidRPr="00AA5ABE">
        <w:rPr>
          <w:rFonts w:ascii="宋体" w:hAnsi="宋体"/>
        </w:rPr>
        <w:t>%</w:t>
      </w:r>
      <w:r w:rsidRPr="00AA5ABE">
        <w:rPr>
          <w:rFonts w:ascii="宋体" w:hAnsi="宋体" w:hint="eastAsia"/>
        </w:rPr>
        <w:t>。</w:t>
      </w:r>
    </w:p>
    <w:p w14:paraId="2A8620FC" w14:textId="493D02E2"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w:t>
      </w:r>
      <w:r w:rsidR="005963F1">
        <w:rPr>
          <w:rFonts w:ascii="宋体" w:hAnsi="宋体" w:cs="宋体"/>
        </w:rPr>
        <w:t>7</w:t>
      </w:r>
      <w:r w:rsidR="00551601">
        <w:rPr>
          <w:rFonts w:ascii="宋体" w:hAnsi="宋体" w:cs="宋体"/>
        </w:rPr>
        <w:t>6</w:t>
      </w:r>
      <w:r w:rsidR="00DC6E76">
        <w:rPr>
          <w:rFonts w:ascii="宋体" w:hAnsi="宋体" w:cs="宋体"/>
        </w:rPr>
        <w:t>23</w:t>
      </w:r>
      <w:r>
        <w:t>，</w:t>
      </w:r>
      <w:r>
        <w:rPr>
          <w:rFonts w:hint="eastAsia"/>
        </w:rPr>
        <w:t>美元兑离岸人民币收报</w:t>
      </w:r>
      <w:r w:rsidR="003A699C">
        <w:t>6</w:t>
      </w:r>
      <w:r w:rsidR="00C870C1">
        <w:t>.</w:t>
      </w:r>
      <w:r w:rsidR="005963F1">
        <w:t>7</w:t>
      </w:r>
      <w:r w:rsidR="00374735">
        <w:t>846</w:t>
      </w:r>
      <w:r>
        <w:rPr>
          <w:rFonts w:hint="eastAsia"/>
        </w:rPr>
        <w:t>，在当周</w:t>
      </w:r>
      <w:r>
        <w:t>分别</w:t>
      </w:r>
      <w:r w:rsidR="00374735">
        <w:rPr>
          <w:rFonts w:hint="eastAsia"/>
        </w:rPr>
        <w:t>上涨</w:t>
      </w:r>
      <w:r w:rsidR="002A6475">
        <w:rPr>
          <w:rFonts w:hint="eastAsia"/>
        </w:rPr>
        <w:t>0</w:t>
      </w:r>
      <w:r w:rsidR="002A6475">
        <w:t>.</w:t>
      </w:r>
      <w:r w:rsidR="00374735">
        <w:t>1</w:t>
      </w:r>
      <w:r w:rsidR="00CD2629">
        <w:t>3</w:t>
      </w:r>
      <w:r w:rsidR="002A6475">
        <w:t>%</w:t>
      </w:r>
      <w:r>
        <w:t>和</w:t>
      </w:r>
      <w:r w:rsidR="00374735">
        <w:rPr>
          <w:rFonts w:hint="eastAsia"/>
        </w:rPr>
        <w:t>上涨</w:t>
      </w:r>
      <w:r w:rsidR="00374735">
        <w:rPr>
          <w:rFonts w:hint="eastAsia"/>
        </w:rPr>
        <w:t>0</w:t>
      </w:r>
      <w:r w:rsidR="002A6475">
        <w:t>.</w:t>
      </w:r>
      <w:r w:rsidR="00374735">
        <w:t>32</w:t>
      </w:r>
      <w:r w:rsidR="002A6475">
        <w:t>%</w:t>
      </w:r>
      <w:r>
        <w:t>。欧元兑人民币报</w:t>
      </w:r>
      <w:r w:rsidR="0051119D">
        <w:t>7</w:t>
      </w:r>
      <w:r w:rsidR="00374735">
        <w:t>.7646</w:t>
      </w:r>
      <w:r>
        <w:t>、英镑兑人民币报</w:t>
      </w:r>
      <w:r w:rsidR="00374735">
        <w:t>8.9583</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5963F1">
        <w:t>2</w:t>
      </w:r>
      <w:r w:rsidR="00374735">
        <w:t>103</w:t>
      </w:r>
      <w:r w:rsidR="000959E1">
        <w:rPr>
          <w:rFonts w:hint="eastAsia"/>
        </w:rPr>
        <w:t>、</w:t>
      </w:r>
      <w:r>
        <w:t>澳元兑人民币报</w:t>
      </w:r>
      <w:r>
        <w:t>4</w:t>
      </w:r>
      <w:r w:rsidR="006B50D4">
        <w:t>.</w:t>
      </w:r>
      <w:r w:rsidR="00374735">
        <w:t>7447</w:t>
      </w:r>
      <w:r>
        <w:rPr>
          <w:rFonts w:hint="eastAsia"/>
        </w:rPr>
        <w:t>，在当</w:t>
      </w:r>
      <w:r>
        <w:t>周分别</w:t>
      </w:r>
      <w:r w:rsidR="00CD2629">
        <w:rPr>
          <w:rFonts w:hint="eastAsia"/>
        </w:rPr>
        <w:t>跌</w:t>
      </w:r>
      <w:r w:rsidR="005963F1">
        <w:t>0.</w:t>
      </w:r>
      <w:r w:rsidR="00374735">
        <w:t>7</w:t>
      </w:r>
      <w:r w:rsidR="002A6475">
        <w:t>%</w:t>
      </w:r>
      <w:r>
        <w:t>、</w:t>
      </w:r>
      <w:r w:rsidR="00551601">
        <w:rPr>
          <w:rFonts w:hint="eastAsia"/>
        </w:rPr>
        <w:t>跌</w:t>
      </w:r>
      <w:r w:rsidR="00374735">
        <w:rPr>
          <w:rFonts w:hint="eastAsia"/>
        </w:rPr>
        <w:t>1</w:t>
      </w:r>
      <w:r w:rsidR="00374735">
        <w:t>.22</w:t>
      </w:r>
      <w:r w:rsidR="00DD51CB">
        <w:t>%</w:t>
      </w:r>
      <w:r>
        <w:rPr>
          <w:rFonts w:hint="eastAsia"/>
        </w:rPr>
        <w:t>、</w:t>
      </w:r>
      <w:r w:rsidR="000A05D9">
        <w:rPr>
          <w:rFonts w:hint="eastAsia"/>
        </w:rPr>
        <w:t>跌</w:t>
      </w:r>
      <w:r w:rsidR="005963F1">
        <w:t>0.</w:t>
      </w:r>
      <w:r w:rsidR="00374735">
        <w:t>33</w:t>
      </w:r>
      <w:r w:rsidR="002A6475">
        <w:t>%</w:t>
      </w:r>
      <w:r>
        <w:t>和</w:t>
      </w:r>
      <w:r w:rsidR="00CD2629">
        <w:rPr>
          <w:rFonts w:hint="eastAsia"/>
        </w:rPr>
        <w:t>跌</w:t>
      </w:r>
      <w:r w:rsidR="00374735">
        <w:t>0.45</w:t>
      </w:r>
      <w:r w:rsidR="00FF18A2">
        <w:t>%</w:t>
      </w:r>
      <w:r>
        <w:t>。</w:t>
      </w:r>
    </w:p>
    <w:p w14:paraId="76AC2601" w14:textId="23D683D2"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9E2DD1" w:rsidRPr="009E2DD1">
        <w:rPr>
          <w:rFonts w:hint="eastAsia"/>
        </w:rPr>
        <w:t>15428</w:t>
      </w:r>
      <w:r w:rsidR="009E2DD1" w:rsidRPr="009E2DD1">
        <w:rPr>
          <w:rFonts w:hint="eastAsia"/>
        </w:rPr>
        <w:t>亿元</w:t>
      </w:r>
      <w:r w:rsidR="009E2DD1" w:rsidRPr="009E2DD1">
        <w:rPr>
          <w:rFonts w:hint="eastAsia"/>
        </w:rPr>
        <w:t>7</w:t>
      </w:r>
      <w:r w:rsidR="009E2DD1" w:rsidRPr="009E2DD1">
        <w:rPr>
          <w:rFonts w:hint="eastAsia"/>
        </w:rPr>
        <w:t>天期逆回购操作，本周央行公开市场有</w:t>
      </w:r>
      <w:r w:rsidR="009E2DD1" w:rsidRPr="009E2DD1">
        <w:rPr>
          <w:rFonts w:hint="eastAsia"/>
        </w:rPr>
        <w:t>7190</w:t>
      </w:r>
      <w:r w:rsidR="009E2DD1" w:rsidRPr="009E2DD1">
        <w:rPr>
          <w:rFonts w:hint="eastAsia"/>
        </w:rPr>
        <w:t>亿元逆回购到期，因此净投放</w:t>
      </w:r>
      <w:r w:rsidR="009E2DD1" w:rsidRPr="009E2DD1">
        <w:rPr>
          <w:rFonts w:hint="eastAsia"/>
        </w:rPr>
        <w:t>8238</w:t>
      </w:r>
      <w:r w:rsidR="009E2DD1" w:rsidRPr="009E2DD1">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34676110" w14:textId="59CA169C" w:rsidR="00ED110E"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DC6E76" w:rsidRPr="00DC6E76">
        <w:rPr>
          <w:rFonts w:ascii="宋体" w:hAnsi="宋体" w:hint="eastAsia"/>
        </w:rPr>
        <w:t>2026陆家嘴论坛于6月17日在上海开幕，多项金融改革和开放举措集中发布。央行推出完善短端利率调控机制、境外央行回购工具、在上海自贸区开展离岸人民币外汇交易试点等多项政策。金融监管总局将聚力攻坚防范化解风险，着力消除监管空白和盲区。证监会扩大第五套标准适用范围至人工智能领域，推出主动ETF，支持符合条件的港股上市公司境内上市，加快研究推进人民币外汇期货试点，支持香港于近期启动5年期人民币国债期货上市交易。国家外汇局将全面改革外商直接投资跨境政策，进一步简化对外直接投资、外债等汇兑管理，发放新一批合格境内机构投资者投资额度。</w:t>
      </w:r>
    </w:p>
    <w:p w14:paraId="3316BE34" w14:textId="1180CDA0" w:rsidR="00785749" w:rsidRPr="0011314B" w:rsidRDefault="00CA7296" w:rsidP="0011314B">
      <w:pPr>
        <w:spacing w:line="312" w:lineRule="auto"/>
        <w:ind w:firstLine="420"/>
        <w:rPr>
          <w:rFonts w:ascii="宋体" w:hAnsi="宋体"/>
        </w:rPr>
      </w:pPr>
      <w:r w:rsidRPr="0086476E">
        <w:rPr>
          <w:rFonts w:ascii="宋体" w:hAnsi="宋体" w:hint="eastAsia"/>
        </w:rPr>
        <w:t>2、</w:t>
      </w:r>
      <w:r w:rsidR="00DC6E76" w:rsidRPr="00DC6E76">
        <w:rPr>
          <w:rFonts w:ascii="宋体" w:hAnsi="宋体" w:hint="eastAsia"/>
        </w:rPr>
        <w:t>商务部表示，为维护国家安全和利益，履行防扩散等国际义务，针对美国政府增列所谓“中国军事企业清单”的恶劣做法，中方决定将艾维奥克斯公司等10家美国涉军实体列入出口管制管控名单，禁止任何国家和地区的组织和个人将原产于中国的两用物项转移或提供给上述实体。财政部同步发布通知，在政府采购活动中，禁止采购46家美国企业生产的产品。</w:t>
      </w:r>
    </w:p>
    <w:p w14:paraId="0E3CF4D4" w14:textId="768350E2"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DC6E76" w:rsidRPr="00DC6E76">
        <w:rPr>
          <w:rFonts w:ascii="宋体" w:hAnsi="宋体" w:hint="eastAsia"/>
        </w:rPr>
        <w:t>伊朗和美国签署谅解备忘录后的首轮谈判达成5项要点，就确保霍尔木兹海峡开放、</w:t>
      </w:r>
      <w:r w:rsidR="00DC6E76" w:rsidRPr="00DC6E76">
        <w:rPr>
          <w:rFonts w:ascii="宋体" w:hAnsi="宋体" w:hint="eastAsia"/>
        </w:rPr>
        <w:lastRenderedPageBreak/>
        <w:t>启动最终协议谈判的基础工作、结束在黎巴嫩的战争、允许伊朗石油销售、解冻伊朗资产等议题取得良好进展。美国副总统万斯表示，美伊瑞士谈判为达成最终协议奠定基础。美国财政部发布一般许可证，暂时放松对伊朗石油的制裁措施，为期60天。</w:t>
      </w:r>
    </w:p>
    <w:p w14:paraId="630B9579" w14:textId="222C3DF1" w:rsidR="00BC01B8" w:rsidRPr="00F44D25" w:rsidRDefault="00BC01B8" w:rsidP="001F0839">
      <w:pPr>
        <w:spacing w:line="312" w:lineRule="auto"/>
        <w:ind w:firstLine="420"/>
        <w:rPr>
          <w:rFonts w:ascii="宋体" w:hAnsi="宋体"/>
        </w:rPr>
      </w:pPr>
      <w:r w:rsidRPr="0086476E">
        <w:rPr>
          <w:rFonts w:ascii="宋体" w:hAnsi="宋体" w:hint="eastAsia"/>
        </w:rPr>
        <w:t>4、</w:t>
      </w:r>
      <w:r w:rsidR="00DC6E76" w:rsidRPr="00DC6E76">
        <w:rPr>
          <w:rFonts w:ascii="宋体" w:hAnsi="宋体" w:hint="eastAsia"/>
        </w:rPr>
        <w:t>美联储6月FOMC会议维持联邦基金利率在3.50%-3.75%不变，投票结果为12票赞成。声明最大变化是彻底删除前瞻指引及“额外调整”等宽松倾向措辞，篇幅显著缩短，标志政策框架转向完全数据依赖。经济预测显示，2026年GDP增长预期被下调至2.2%，核心PCE通胀上调至约3.3%。点阵图大幅转鹰，2026年底利率中位数升至3.8%，9名官员预期加息，仅1人预期降息。美联储新任主席沃什未提交点阵图。市场解读为宽松周期终结，加息风险显著上升。</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5686EE7F" w:rsidR="00CA7296" w:rsidRDefault="00DC6E76"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17858E1" wp14:editId="58927D52">
            <wp:extent cx="3152775" cy="1762222"/>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5086" cy="1791461"/>
                    </a:xfrm>
                    <a:prstGeom prst="rect">
                      <a:avLst/>
                    </a:prstGeom>
                  </pic:spPr>
                </pic:pic>
              </a:graphicData>
            </a:graphic>
          </wp:inline>
        </w:drawing>
      </w:r>
    </w:p>
    <w:p w14:paraId="724C81D0" w14:textId="676325FD"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7C1CFF78" w14:textId="05DD9DB6"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799F1F4B" w:rsidR="00CA7296" w:rsidRDefault="00DC6E76" w:rsidP="00CA7296">
      <w:pPr>
        <w:spacing w:line="360" w:lineRule="auto"/>
        <w:jc w:val="center"/>
        <w:rPr>
          <w:rFonts w:ascii="宋体" w:hAnsi="宋体"/>
          <w:sz w:val="18"/>
          <w:szCs w:val="18"/>
        </w:rPr>
      </w:pPr>
      <w:r>
        <w:rPr>
          <w:noProof/>
        </w:rPr>
        <w:drawing>
          <wp:inline distT="0" distB="0" distL="0" distR="0" wp14:anchorId="68806E3D" wp14:editId="6D0A47E7">
            <wp:extent cx="4971590" cy="310515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5035" cy="3107302"/>
                    </a:xfrm>
                    <a:prstGeom prst="rect">
                      <a:avLst/>
                    </a:prstGeom>
                  </pic:spPr>
                </pic:pic>
              </a:graphicData>
            </a:graphic>
          </wp:inline>
        </w:drawing>
      </w:r>
    </w:p>
    <w:p w14:paraId="2C3CB845" w14:textId="55F2DBAF"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3075F81F" w14:textId="40DC0629"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Pr>
          <w:rFonts w:ascii="宋体" w:eastAsia="宋体" w:hAnsi="宋体" w:hint="eastAsia"/>
          <w:b/>
        </w:rPr>
        <w:t>涨跌幅（%）</w:t>
      </w:r>
    </w:p>
    <w:p w14:paraId="38BC9AEC" w14:textId="64E7BFA6" w:rsidR="00CA7296" w:rsidRPr="00AB4AA6" w:rsidRDefault="00DC6E76" w:rsidP="00AB4AA6">
      <w:pPr>
        <w:jc w:val="center"/>
      </w:pPr>
      <w:r>
        <w:rPr>
          <w:noProof/>
        </w:rPr>
        <w:drawing>
          <wp:inline distT="0" distB="0" distL="0" distR="0" wp14:anchorId="29B03B31" wp14:editId="337B0CA2">
            <wp:extent cx="3000375" cy="177324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14484" cy="1781580"/>
                    </a:xfrm>
                    <a:prstGeom prst="rect">
                      <a:avLst/>
                    </a:prstGeom>
                  </pic:spPr>
                </pic:pic>
              </a:graphicData>
            </a:graphic>
          </wp:inline>
        </w:drawing>
      </w:r>
    </w:p>
    <w:p w14:paraId="36902B86" w14:textId="710363B6"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0988EB05" w:rsidR="00CA7296" w:rsidRDefault="00DC6E76" w:rsidP="00CA7296">
      <w:pPr>
        <w:jc w:val="center"/>
      </w:pPr>
      <w:r>
        <w:rPr>
          <w:noProof/>
        </w:rPr>
        <w:drawing>
          <wp:inline distT="0" distB="0" distL="0" distR="0" wp14:anchorId="64ACC939" wp14:editId="4C67CD34">
            <wp:extent cx="5019675" cy="249895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5722" cy="2501969"/>
                    </a:xfrm>
                    <a:prstGeom prst="rect">
                      <a:avLst/>
                    </a:prstGeom>
                  </pic:spPr>
                </pic:pic>
              </a:graphicData>
            </a:graphic>
          </wp:inline>
        </w:drawing>
      </w:r>
    </w:p>
    <w:p w14:paraId="056208BF" w14:textId="09D31C14"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6113AF74" w:rsidR="00CA7296" w:rsidRDefault="00DC6E76" w:rsidP="00CA7296">
      <w:pPr>
        <w:jc w:val="center"/>
      </w:pPr>
      <w:r>
        <w:rPr>
          <w:noProof/>
        </w:rPr>
        <w:drawing>
          <wp:inline distT="0" distB="0" distL="0" distR="0" wp14:anchorId="4B3ECEE8" wp14:editId="0963C190">
            <wp:extent cx="2943225" cy="1752216"/>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73135" cy="1770023"/>
                    </a:xfrm>
                    <a:prstGeom prst="rect">
                      <a:avLst/>
                    </a:prstGeom>
                  </pic:spPr>
                </pic:pic>
              </a:graphicData>
            </a:graphic>
          </wp:inline>
        </w:drawing>
      </w:r>
    </w:p>
    <w:p w14:paraId="5F290B9E" w14:textId="391AE33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4C39F4B9" w:rsidR="00CA7296" w:rsidRDefault="00C442CC"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66E2E21" wp14:editId="53055FFE">
            <wp:extent cx="3895725" cy="21717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79B74F5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40C515DD" w14:textId="77777777" w:rsidR="00DC6E76" w:rsidRDefault="00DC6E76" w:rsidP="00103A47">
      <w:pPr>
        <w:spacing w:line="312" w:lineRule="auto"/>
        <w:ind w:firstLine="420"/>
        <w:rPr>
          <w:rFonts w:ascii="宋体" w:hAnsi="宋体" w:cs="宋体"/>
        </w:rPr>
      </w:pPr>
      <w:r w:rsidRPr="00DC6E76">
        <w:rPr>
          <w:rFonts w:ascii="宋体" w:hAnsi="宋体" w:cs="宋体" w:hint="eastAsia"/>
        </w:rPr>
        <w:t>美联储连续第四次维持利率按兵不动，点阵图显示大部分官员支持年内展开至少一次降息。经济摘要显示，GDP预测小幅下修，通胀预期录得大幅上调，美伊局势增添不确定性，政策路径仍待观察。美联储本次基调明显偏鹰，新任主席沃什缩减前瞻指引亦加强后续政策路径的不确定性，美元指数重新企稳站上整数关口。宏观数据方面，美国5月零售销售表现超出市场预期，同比增速录得2023年1月以来最强表现，美国前期大规模退税提振零售端表现，但同时亦可能加剧通胀粘性。展望后市，美伊停火预期升温阶段性压制美元避险需求，但后续谈判不确定性仍存，鹰派联储及偏强经济数据或提供较强支撑。</w:t>
      </w:r>
    </w:p>
    <w:p w14:paraId="16FCB4C1" w14:textId="60312C7A" w:rsidR="00F954EA" w:rsidRPr="00AA5ABE" w:rsidRDefault="009F3A72" w:rsidP="00103A47">
      <w:pPr>
        <w:spacing w:line="312" w:lineRule="auto"/>
        <w:ind w:firstLine="420"/>
        <w:rPr>
          <w:rFonts w:ascii="宋体" w:hAnsi="宋体"/>
        </w:rPr>
      </w:pPr>
      <w:r w:rsidRPr="009F3A72">
        <w:rPr>
          <w:rFonts w:ascii="宋体" w:hAnsi="宋体" w:cs="宋体" w:hint="eastAsia"/>
        </w:rPr>
        <w:t>国内端，5月我国官方制造业PMI录得50.0，恰好落于荣枯平衡线上，反映制造业整体运行稳定，但扩张动能边际减弱，供需两端同步放缓，结构性分化加剧，新动能与传统行业、大型企业与中小企业走势背离。外需下降幅度较大，新出口订单指数大幅回落1.7个百分点至48.6%，主要受中东局势扰动全球经济、海外需求疲软等因素影响。5月我国出口同比19.4%，外贸水平再度超预期上行，全球制造业韧性强叠加输入型通胀共同助推价格端大幅上涨，量减价增特征显著。从中长期看，全球经济下行压力大、红海绕行或导致下半年出口增速承压。并且谅解备忘录的签注有助于地缘局势好转，人民币兑美元汇率波动料持续加剧。</w:t>
      </w:r>
      <w:bookmarkStart w:id="0" w:name="_GoBack"/>
      <w:bookmarkEnd w:id="0"/>
    </w:p>
    <w:p w14:paraId="0E0C61B7" w14:textId="75E249A0" w:rsidR="00AB1C8D" w:rsidRDefault="00AB1C8D" w:rsidP="00AB1C8D">
      <w:pPr>
        <w:widowControl/>
        <w:jc w:val="left"/>
        <w:rPr>
          <w:rFonts w:ascii="宋体" w:hAnsi="宋体" w:cs="宋体"/>
        </w:rPr>
      </w:pPr>
      <w:r>
        <w:rPr>
          <w:rFonts w:ascii="宋体" w:hAnsi="宋体" w:cs="宋体"/>
        </w:rPr>
        <w:br w:type="page"/>
      </w: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lastRenderedPageBreak/>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0D830" w14:textId="77777777" w:rsidR="00B32E5A" w:rsidRDefault="00B32E5A" w:rsidP="00127060">
      <w:r>
        <w:separator/>
      </w:r>
    </w:p>
  </w:endnote>
  <w:endnote w:type="continuationSeparator" w:id="0">
    <w:p w14:paraId="37F1D365" w14:textId="77777777" w:rsidR="00B32E5A" w:rsidRDefault="00B32E5A"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31D87" w14:textId="77777777" w:rsidR="00B32E5A" w:rsidRDefault="00B32E5A" w:rsidP="00127060">
      <w:r>
        <w:separator/>
      </w:r>
    </w:p>
  </w:footnote>
  <w:footnote w:type="continuationSeparator" w:id="0">
    <w:p w14:paraId="72E6AB61" w14:textId="77777777" w:rsidR="00B32E5A" w:rsidRDefault="00B32E5A"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57C8"/>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37826"/>
    <w:rsid w:val="000447DD"/>
    <w:rsid w:val="0004620E"/>
    <w:rsid w:val="00046EC5"/>
    <w:rsid w:val="0005052B"/>
    <w:rsid w:val="00051F31"/>
    <w:rsid w:val="00052952"/>
    <w:rsid w:val="000540B3"/>
    <w:rsid w:val="00054D2E"/>
    <w:rsid w:val="00055C18"/>
    <w:rsid w:val="0005615C"/>
    <w:rsid w:val="00056C00"/>
    <w:rsid w:val="00057586"/>
    <w:rsid w:val="00061E07"/>
    <w:rsid w:val="00063F06"/>
    <w:rsid w:val="000649D8"/>
    <w:rsid w:val="000658CB"/>
    <w:rsid w:val="00066060"/>
    <w:rsid w:val="00067183"/>
    <w:rsid w:val="00072788"/>
    <w:rsid w:val="00072AF7"/>
    <w:rsid w:val="0007552B"/>
    <w:rsid w:val="00081272"/>
    <w:rsid w:val="00083FCF"/>
    <w:rsid w:val="000902C1"/>
    <w:rsid w:val="00094A69"/>
    <w:rsid w:val="0009578B"/>
    <w:rsid w:val="000959E1"/>
    <w:rsid w:val="00096C6B"/>
    <w:rsid w:val="000A05D9"/>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D68D8"/>
    <w:rsid w:val="000E6617"/>
    <w:rsid w:val="000F156E"/>
    <w:rsid w:val="000F6721"/>
    <w:rsid w:val="000F6A0B"/>
    <w:rsid w:val="000F726E"/>
    <w:rsid w:val="000F72AD"/>
    <w:rsid w:val="00100296"/>
    <w:rsid w:val="001017E8"/>
    <w:rsid w:val="00103A47"/>
    <w:rsid w:val="00112C39"/>
    <w:rsid w:val="0011314B"/>
    <w:rsid w:val="00113D9E"/>
    <w:rsid w:val="00115730"/>
    <w:rsid w:val="0012070F"/>
    <w:rsid w:val="00125BEA"/>
    <w:rsid w:val="00127060"/>
    <w:rsid w:val="00133B4F"/>
    <w:rsid w:val="001359F0"/>
    <w:rsid w:val="001407AC"/>
    <w:rsid w:val="00140BEA"/>
    <w:rsid w:val="001431CC"/>
    <w:rsid w:val="001454F3"/>
    <w:rsid w:val="001470E8"/>
    <w:rsid w:val="00150521"/>
    <w:rsid w:val="00153427"/>
    <w:rsid w:val="00154921"/>
    <w:rsid w:val="001564E1"/>
    <w:rsid w:val="0015671A"/>
    <w:rsid w:val="001573DE"/>
    <w:rsid w:val="0016345C"/>
    <w:rsid w:val="0017113F"/>
    <w:rsid w:val="001728A8"/>
    <w:rsid w:val="00182FB2"/>
    <w:rsid w:val="001847B0"/>
    <w:rsid w:val="001848CA"/>
    <w:rsid w:val="001869F4"/>
    <w:rsid w:val="00186F23"/>
    <w:rsid w:val="001938CF"/>
    <w:rsid w:val="00194A13"/>
    <w:rsid w:val="00195C4D"/>
    <w:rsid w:val="00197E1F"/>
    <w:rsid w:val="00197E3E"/>
    <w:rsid w:val="001A3C3A"/>
    <w:rsid w:val="001A54E0"/>
    <w:rsid w:val="001A59DE"/>
    <w:rsid w:val="001B34ED"/>
    <w:rsid w:val="001B6505"/>
    <w:rsid w:val="001B7DCD"/>
    <w:rsid w:val="001C598E"/>
    <w:rsid w:val="001C7A4C"/>
    <w:rsid w:val="001C7CB7"/>
    <w:rsid w:val="001D1EE7"/>
    <w:rsid w:val="001D5BF6"/>
    <w:rsid w:val="001F0839"/>
    <w:rsid w:val="001F0B8B"/>
    <w:rsid w:val="001F0D0C"/>
    <w:rsid w:val="001F3157"/>
    <w:rsid w:val="001F4E90"/>
    <w:rsid w:val="001F6D4B"/>
    <w:rsid w:val="001F6F76"/>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2739"/>
    <w:rsid w:val="002333A5"/>
    <w:rsid w:val="002348D9"/>
    <w:rsid w:val="002348FA"/>
    <w:rsid w:val="00236D53"/>
    <w:rsid w:val="00242AD4"/>
    <w:rsid w:val="00244509"/>
    <w:rsid w:val="002458C3"/>
    <w:rsid w:val="00247EFC"/>
    <w:rsid w:val="00253827"/>
    <w:rsid w:val="00254A2B"/>
    <w:rsid w:val="00257436"/>
    <w:rsid w:val="0026035D"/>
    <w:rsid w:val="0026175A"/>
    <w:rsid w:val="002617AF"/>
    <w:rsid w:val="00263BE6"/>
    <w:rsid w:val="00266134"/>
    <w:rsid w:val="0027103D"/>
    <w:rsid w:val="00273827"/>
    <w:rsid w:val="00276D63"/>
    <w:rsid w:val="00276F3C"/>
    <w:rsid w:val="002779DB"/>
    <w:rsid w:val="00282E4E"/>
    <w:rsid w:val="0028510B"/>
    <w:rsid w:val="0028572C"/>
    <w:rsid w:val="00290F42"/>
    <w:rsid w:val="002951ED"/>
    <w:rsid w:val="00296492"/>
    <w:rsid w:val="0029743E"/>
    <w:rsid w:val="002A359F"/>
    <w:rsid w:val="002A6475"/>
    <w:rsid w:val="002A6E4D"/>
    <w:rsid w:val="002A79EF"/>
    <w:rsid w:val="002B2218"/>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58AF"/>
    <w:rsid w:val="003066A3"/>
    <w:rsid w:val="003070DC"/>
    <w:rsid w:val="00310347"/>
    <w:rsid w:val="00311DD7"/>
    <w:rsid w:val="00311E0D"/>
    <w:rsid w:val="00312B57"/>
    <w:rsid w:val="00324293"/>
    <w:rsid w:val="00325FB5"/>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4735"/>
    <w:rsid w:val="00377B85"/>
    <w:rsid w:val="0038253A"/>
    <w:rsid w:val="003867A4"/>
    <w:rsid w:val="003903E1"/>
    <w:rsid w:val="00392306"/>
    <w:rsid w:val="00394B23"/>
    <w:rsid w:val="00397D8C"/>
    <w:rsid w:val="003A062A"/>
    <w:rsid w:val="003A2616"/>
    <w:rsid w:val="003A2745"/>
    <w:rsid w:val="003A4CF3"/>
    <w:rsid w:val="003A699C"/>
    <w:rsid w:val="003A7F2C"/>
    <w:rsid w:val="003B2BD3"/>
    <w:rsid w:val="003B3A79"/>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3F591E"/>
    <w:rsid w:val="004012E4"/>
    <w:rsid w:val="004023AC"/>
    <w:rsid w:val="00405DD6"/>
    <w:rsid w:val="0040735B"/>
    <w:rsid w:val="00407F4C"/>
    <w:rsid w:val="00413A6A"/>
    <w:rsid w:val="00414D5B"/>
    <w:rsid w:val="00416F99"/>
    <w:rsid w:val="00420D11"/>
    <w:rsid w:val="00420FA9"/>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158A"/>
    <w:rsid w:val="00472C1A"/>
    <w:rsid w:val="004801BB"/>
    <w:rsid w:val="00480DFA"/>
    <w:rsid w:val="0048255E"/>
    <w:rsid w:val="00482C6C"/>
    <w:rsid w:val="004855D9"/>
    <w:rsid w:val="00490A4C"/>
    <w:rsid w:val="00495814"/>
    <w:rsid w:val="004A483B"/>
    <w:rsid w:val="004A5DEA"/>
    <w:rsid w:val="004A618A"/>
    <w:rsid w:val="004A70F3"/>
    <w:rsid w:val="004B1822"/>
    <w:rsid w:val="004B3117"/>
    <w:rsid w:val="004B4636"/>
    <w:rsid w:val="004B569D"/>
    <w:rsid w:val="004B688C"/>
    <w:rsid w:val="004B6B0F"/>
    <w:rsid w:val="004B7564"/>
    <w:rsid w:val="004C0BD3"/>
    <w:rsid w:val="004C131F"/>
    <w:rsid w:val="004C243D"/>
    <w:rsid w:val="004D1771"/>
    <w:rsid w:val="004D283C"/>
    <w:rsid w:val="004D75A9"/>
    <w:rsid w:val="004E10AA"/>
    <w:rsid w:val="004E159A"/>
    <w:rsid w:val="004E22E6"/>
    <w:rsid w:val="004E2769"/>
    <w:rsid w:val="004E332D"/>
    <w:rsid w:val="004F0C55"/>
    <w:rsid w:val="004F16E7"/>
    <w:rsid w:val="004F5DA5"/>
    <w:rsid w:val="0050173E"/>
    <w:rsid w:val="00503735"/>
    <w:rsid w:val="00505961"/>
    <w:rsid w:val="00505DD6"/>
    <w:rsid w:val="00506D2A"/>
    <w:rsid w:val="00511152"/>
    <w:rsid w:val="0051119D"/>
    <w:rsid w:val="00512646"/>
    <w:rsid w:val="0051618C"/>
    <w:rsid w:val="00534A80"/>
    <w:rsid w:val="00535FC1"/>
    <w:rsid w:val="00537CF9"/>
    <w:rsid w:val="00551601"/>
    <w:rsid w:val="0055205C"/>
    <w:rsid w:val="00567A01"/>
    <w:rsid w:val="005717C4"/>
    <w:rsid w:val="00571EBF"/>
    <w:rsid w:val="00574E1F"/>
    <w:rsid w:val="00577A61"/>
    <w:rsid w:val="00581D9D"/>
    <w:rsid w:val="00583AD9"/>
    <w:rsid w:val="00585144"/>
    <w:rsid w:val="0058569A"/>
    <w:rsid w:val="00592071"/>
    <w:rsid w:val="005963F1"/>
    <w:rsid w:val="005A3626"/>
    <w:rsid w:val="005A6A6F"/>
    <w:rsid w:val="005B0999"/>
    <w:rsid w:val="005B0EC1"/>
    <w:rsid w:val="005B127B"/>
    <w:rsid w:val="005B4337"/>
    <w:rsid w:val="005B6BB0"/>
    <w:rsid w:val="005C4837"/>
    <w:rsid w:val="005D4042"/>
    <w:rsid w:val="005D591B"/>
    <w:rsid w:val="005D6040"/>
    <w:rsid w:val="005D6206"/>
    <w:rsid w:val="005E4D72"/>
    <w:rsid w:val="005E791A"/>
    <w:rsid w:val="005F3A6D"/>
    <w:rsid w:val="005F55A3"/>
    <w:rsid w:val="005F5A82"/>
    <w:rsid w:val="005F7439"/>
    <w:rsid w:val="00600382"/>
    <w:rsid w:val="006104BA"/>
    <w:rsid w:val="006206E8"/>
    <w:rsid w:val="00621D14"/>
    <w:rsid w:val="00621FB3"/>
    <w:rsid w:val="00624E74"/>
    <w:rsid w:val="00626AF8"/>
    <w:rsid w:val="00626F9A"/>
    <w:rsid w:val="00635BA5"/>
    <w:rsid w:val="00637EE4"/>
    <w:rsid w:val="006453A6"/>
    <w:rsid w:val="006466A9"/>
    <w:rsid w:val="00646D9C"/>
    <w:rsid w:val="0064750B"/>
    <w:rsid w:val="00647B32"/>
    <w:rsid w:val="00651A45"/>
    <w:rsid w:val="0065442E"/>
    <w:rsid w:val="006553DD"/>
    <w:rsid w:val="00655606"/>
    <w:rsid w:val="00655FE4"/>
    <w:rsid w:val="006603DF"/>
    <w:rsid w:val="0066318A"/>
    <w:rsid w:val="0066406F"/>
    <w:rsid w:val="00671429"/>
    <w:rsid w:val="00671C9F"/>
    <w:rsid w:val="00672F7C"/>
    <w:rsid w:val="00673887"/>
    <w:rsid w:val="00673FAC"/>
    <w:rsid w:val="006746CA"/>
    <w:rsid w:val="00676B9B"/>
    <w:rsid w:val="00687269"/>
    <w:rsid w:val="00693203"/>
    <w:rsid w:val="006938C5"/>
    <w:rsid w:val="00695DD5"/>
    <w:rsid w:val="006A0016"/>
    <w:rsid w:val="006A24BE"/>
    <w:rsid w:val="006A2C2A"/>
    <w:rsid w:val="006A35D1"/>
    <w:rsid w:val="006A3F5D"/>
    <w:rsid w:val="006A584F"/>
    <w:rsid w:val="006B4178"/>
    <w:rsid w:val="006B50D4"/>
    <w:rsid w:val="006B685C"/>
    <w:rsid w:val="006C158F"/>
    <w:rsid w:val="006C1898"/>
    <w:rsid w:val="006D339B"/>
    <w:rsid w:val="006D4F54"/>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56FB"/>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95C32"/>
    <w:rsid w:val="007A5815"/>
    <w:rsid w:val="007B10D1"/>
    <w:rsid w:val="007B3FE4"/>
    <w:rsid w:val="007B45BB"/>
    <w:rsid w:val="007B677E"/>
    <w:rsid w:val="007B746D"/>
    <w:rsid w:val="007C0CD5"/>
    <w:rsid w:val="007C4700"/>
    <w:rsid w:val="007C5819"/>
    <w:rsid w:val="007C648F"/>
    <w:rsid w:val="007C7C58"/>
    <w:rsid w:val="007D3E5A"/>
    <w:rsid w:val="007D4B15"/>
    <w:rsid w:val="007D4C2E"/>
    <w:rsid w:val="007D5617"/>
    <w:rsid w:val="007D60FF"/>
    <w:rsid w:val="007E1257"/>
    <w:rsid w:val="007E4414"/>
    <w:rsid w:val="007F0835"/>
    <w:rsid w:val="007F2785"/>
    <w:rsid w:val="007F2A98"/>
    <w:rsid w:val="007F6420"/>
    <w:rsid w:val="00800E28"/>
    <w:rsid w:val="008043B5"/>
    <w:rsid w:val="00804540"/>
    <w:rsid w:val="00813A5E"/>
    <w:rsid w:val="00814C88"/>
    <w:rsid w:val="00821138"/>
    <w:rsid w:val="008264F8"/>
    <w:rsid w:val="008306EA"/>
    <w:rsid w:val="0083623C"/>
    <w:rsid w:val="00844DA7"/>
    <w:rsid w:val="008461BD"/>
    <w:rsid w:val="00847CAE"/>
    <w:rsid w:val="008515E9"/>
    <w:rsid w:val="00852D32"/>
    <w:rsid w:val="00852D53"/>
    <w:rsid w:val="00852FAF"/>
    <w:rsid w:val="00853402"/>
    <w:rsid w:val="00854449"/>
    <w:rsid w:val="0085651F"/>
    <w:rsid w:val="008575F1"/>
    <w:rsid w:val="0086476E"/>
    <w:rsid w:val="008663E7"/>
    <w:rsid w:val="0087172E"/>
    <w:rsid w:val="00871BD0"/>
    <w:rsid w:val="00881976"/>
    <w:rsid w:val="00882F85"/>
    <w:rsid w:val="00883F0C"/>
    <w:rsid w:val="00886C14"/>
    <w:rsid w:val="008872BE"/>
    <w:rsid w:val="00887911"/>
    <w:rsid w:val="00891116"/>
    <w:rsid w:val="008A1FB2"/>
    <w:rsid w:val="008A2527"/>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02D"/>
    <w:rsid w:val="00912158"/>
    <w:rsid w:val="00912A7E"/>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52A8C"/>
    <w:rsid w:val="009615A9"/>
    <w:rsid w:val="0096242F"/>
    <w:rsid w:val="009624AE"/>
    <w:rsid w:val="00964904"/>
    <w:rsid w:val="00965238"/>
    <w:rsid w:val="009715A1"/>
    <w:rsid w:val="0097610B"/>
    <w:rsid w:val="0097639B"/>
    <w:rsid w:val="009807E3"/>
    <w:rsid w:val="009821C1"/>
    <w:rsid w:val="00982EB3"/>
    <w:rsid w:val="00984FF0"/>
    <w:rsid w:val="009866FF"/>
    <w:rsid w:val="009927F3"/>
    <w:rsid w:val="0099372E"/>
    <w:rsid w:val="00994228"/>
    <w:rsid w:val="009950CA"/>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2DD1"/>
    <w:rsid w:val="009E53EE"/>
    <w:rsid w:val="009E58E4"/>
    <w:rsid w:val="009F2447"/>
    <w:rsid w:val="009F3358"/>
    <w:rsid w:val="009F3A72"/>
    <w:rsid w:val="009F417E"/>
    <w:rsid w:val="009F6AC7"/>
    <w:rsid w:val="00A00F94"/>
    <w:rsid w:val="00A10A17"/>
    <w:rsid w:val="00A11272"/>
    <w:rsid w:val="00A12E97"/>
    <w:rsid w:val="00A134EB"/>
    <w:rsid w:val="00A234E0"/>
    <w:rsid w:val="00A26326"/>
    <w:rsid w:val="00A27F3A"/>
    <w:rsid w:val="00A3024E"/>
    <w:rsid w:val="00A31FA7"/>
    <w:rsid w:val="00A32364"/>
    <w:rsid w:val="00A33EC9"/>
    <w:rsid w:val="00A3670A"/>
    <w:rsid w:val="00A3724E"/>
    <w:rsid w:val="00A37796"/>
    <w:rsid w:val="00A37AF9"/>
    <w:rsid w:val="00A4147F"/>
    <w:rsid w:val="00A46DE2"/>
    <w:rsid w:val="00A47881"/>
    <w:rsid w:val="00A53530"/>
    <w:rsid w:val="00A568F0"/>
    <w:rsid w:val="00A60551"/>
    <w:rsid w:val="00A618F2"/>
    <w:rsid w:val="00A62C33"/>
    <w:rsid w:val="00A70404"/>
    <w:rsid w:val="00A70BD1"/>
    <w:rsid w:val="00A71812"/>
    <w:rsid w:val="00A74769"/>
    <w:rsid w:val="00A77350"/>
    <w:rsid w:val="00A81118"/>
    <w:rsid w:val="00A84ED5"/>
    <w:rsid w:val="00A861CF"/>
    <w:rsid w:val="00A867D6"/>
    <w:rsid w:val="00A87B55"/>
    <w:rsid w:val="00A959A4"/>
    <w:rsid w:val="00A95FCB"/>
    <w:rsid w:val="00AA5486"/>
    <w:rsid w:val="00AA5ABE"/>
    <w:rsid w:val="00AA73C1"/>
    <w:rsid w:val="00AA7E59"/>
    <w:rsid w:val="00AB1C8D"/>
    <w:rsid w:val="00AB2476"/>
    <w:rsid w:val="00AB2BF2"/>
    <w:rsid w:val="00AB35EA"/>
    <w:rsid w:val="00AB4AA6"/>
    <w:rsid w:val="00AB77E4"/>
    <w:rsid w:val="00AB7FCB"/>
    <w:rsid w:val="00AC09FC"/>
    <w:rsid w:val="00AC11D1"/>
    <w:rsid w:val="00AC23F7"/>
    <w:rsid w:val="00AC5F41"/>
    <w:rsid w:val="00AD25D1"/>
    <w:rsid w:val="00AD468C"/>
    <w:rsid w:val="00AE352D"/>
    <w:rsid w:val="00AE3D5D"/>
    <w:rsid w:val="00AE4085"/>
    <w:rsid w:val="00AE4401"/>
    <w:rsid w:val="00AE5D02"/>
    <w:rsid w:val="00AE61BD"/>
    <w:rsid w:val="00AF4AA5"/>
    <w:rsid w:val="00AF77DE"/>
    <w:rsid w:val="00B109A3"/>
    <w:rsid w:val="00B11E90"/>
    <w:rsid w:val="00B15514"/>
    <w:rsid w:val="00B158F9"/>
    <w:rsid w:val="00B17CED"/>
    <w:rsid w:val="00B20497"/>
    <w:rsid w:val="00B21983"/>
    <w:rsid w:val="00B21F18"/>
    <w:rsid w:val="00B25A83"/>
    <w:rsid w:val="00B26225"/>
    <w:rsid w:val="00B32E5A"/>
    <w:rsid w:val="00B43AEB"/>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4602"/>
    <w:rsid w:val="00B770FE"/>
    <w:rsid w:val="00B85DFF"/>
    <w:rsid w:val="00B874B7"/>
    <w:rsid w:val="00B87C9E"/>
    <w:rsid w:val="00B91814"/>
    <w:rsid w:val="00BA0B26"/>
    <w:rsid w:val="00BA0EE9"/>
    <w:rsid w:val="00BA6CC1"/>
    <w:rsid w:val="00BA7B2C"/>
    <w:rsid w:val="00BA7C59"/>
    <w:rsid w:val="00BB52D1"/>
    <w:rsid w:val="00BB573D"/>
    <w:rsid w:val="00BB7F54"/>
    <w:rsid w:val="00BC01B8"/>
    <w:rsid w:val="00BC1938"/>
    <w:rsid w:val="00BC2F10"/>
    <w:rsid w:val="00BC610A"/>
    <w:rsid w:val="00BD0804"/>
    <w:rsid w:val="00BD27C2"/>
    <w:rsid w:val="00BD65EE"/>
    <w:rsid w:val="00BD7EBC"/>
    <w:rsid w:val="00BE058D"/>
    <w:rsid w:val="00BE253B"/>
    <w:rsid w:val="00BE2780"/>
    <w:rsid w:val="00BE728D"/>
    <w:rsid w:val="00BE7495"/>
    <w:rsid w:val="00BE7F8F"/>
    <w:rsid w:val="00BF0672"/>
    <w:rsid w:val="00BF1550"/>
    <w:rsid w:val="00BF21E2"/>
    <w:rsid w:val="00BF3E43"/>
    <w:rsid w:val="00BF4F9A"/>
    <w:rsid w:val="00BF7D0E"/>
    <w:rsid w:val="00BF7D6C"/>
    <w:rsid w:val="00C10509"/>
    <w:rsid w:val="00C11B0E"/>
    <w:rsid w:val="00C12E3E"/>
    <w:rsid w:val="00C15A00"/>
    <w:rsid w:val="00C21A4B"/>
    <w:rsid w:val="00C21BDD"/>
    <w:rsid w:val="00C25AC5"/>
    <w:rsid w:val="00C3478E"/>
    <w:rsid w:val="00C34E83"/>
    <w:rsid w:val="00C37583"/>
    <w:rsid w:val="00C42001"/>
    <w:rsid w:val="00C428EA"/>
    <w:rsid w:val="00C42CD6"/>
    <w:rsid w:val="00C442CC"/>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203A"/>
    <w:rsid w:val="00C72060"/>
    <w:rsid w:val="00C74CBC"/>
    <w:rsid w:val="00C77777"/>
    <w:rsid w:val="00C77E4C"/>
    <w:rsid w:val="00C85ECA"/>
    <w:rsid w:val="00C861A9"/>
    <w:rsid w:val="00C870C1"/>
    <w:rsid w:val="00CA1C69"/>
    <w:rsid w:val="00CA2893"/>
    <w:rsid w:val="00CA393B"/>
    <w:rsid w:val="00CA3BCB"/>
    <w:rsid w:val="00CA7296"/>
    <w:rsid w:val="00CB2110"/>
    <w:rsid w:val="00CB6E2B"/>
    <w:rsid w:val="00CC28AB"/>
    <w:rsid w:val="00CC2C53"/>
    <w:rsid w:val="00CC3C9A"/>
    <w:rsid w:val="00CC5611"/>
    <w:rsid w:val="00CD2629"/>
    <w:rsid w:val="00CD3D78"/>
    <w:rsid w:val="00CD65B1"/>
    <w:rsid w:val="00CD7032"/>
    <w:rsid w:val="00CD7080"/>
    <w:rsid w:val="00CD788A"/>
    <w:rsid w:val="00CE4FC7"/>
    <w:rsid w:val="00CE5ABB"/>
    <w:rsid w:val="00CE6F7F"/>
    <w:rsid w:val="00CF35A8"/>
    <w:rsid w:val="00CF5574"/>
    <w:rsid w:val="00CF65DD"/>
    <w:rsid w:val="00CF77DF"/>
    <w:rsid w:val="00D0319E"/>
    <w:rsid w:val="00D03363"/>
    <w:rsid w:val="00D04066"/>
    <w:rsid w:val="00D06CB0"/>
    <w:rsid w:val="00D07670"/>
    <w:rsid w:val="00D104E8"/>
    <w:rsid w:val="00D11AF7"/>
    <w:rsid w:val="00D12EAC"/>
    <w:rsid w:val="00D13805"/>
    <w:rsid w:val="00D141C9"/>
    <w:rsid w:val="00D143D7"/>
    <w:rsid w:val="00D22BF7"/>
    <w:rsid w:val="00D25EB8"/>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0A5"/>
    <w:rsid w:val="00D72D1D"/>
    <w:rsid w:val="00D7687B"/>
    <w:rsid w:val="00D80111"/>
    <w:rsid w:val="00D8434A"/>
    <w:rsid w:val="00D87535"/>
    <w:rsid w:val="00D906DE"/>
    <w:rsid w:val="00D96A08"/>
    <w:rsid w:val="00DA3C42"/>
    <w:rsid w:val="00DA54C3"/>
    <w:rsid w:val="00DA57EA"/>
    <w:rsid w:val="00DA6F42"/>
    <w:rsid w:val="00DB06A2"/>
    <w:rsid w:val="00DB11FD"/>
    <w:rsid w:val="00DB2849"/>
    <w:rsid w:val="00DB58B5"/>
    <w:rsid w:val="00DB70AE"/>
    <w:rsid w:val="00DC2BE9"/>
    <w:rsid w:val="00DC342B"/>
    <w:rsid w:val="00DC373F"/>
    <w:rsid w:val="00DC6E76"/>
    <w:rsid w:val="00DD3375"/>
    <w:rsid w:val="00DD51CB"/>
    <w:rsid w:val="00DE437F"/>
    <w:rsid w:val="00DE5BCE"/>
    <w:rsid w:val="00DF74BC"/>
    <w:rsid w:val="00E0471F"/>
    <w:rsid w:val="00E04EBC"/>
    <w:rsid w:val="00E07DDD"/>
    <w:rsid w:val="00E10D0A"/>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097F"/>
    <w:rsid w:val="00E615E8"/>
    <w:rsid w:val="00E62C39"/>
    <w:rsid w:val="00E648F1"/>
    <w:rsid w:val="00E65EC8"/>
    <w:rsid w:val="00E66AD1"/>
    <w:rsid w:val="00E70ABA"/>
    <w:rsid w:val="00E7114D"/>
    <w:rsid w:val="00E72351"/>
    <w:rsid w:val="00E72BE2"/>
    <w:rsid w:val="00E75382"/>
    <w:rsid w:val="00E777EC"/>
    <w:rsid w:val="00E80170"/>
    <w:rsid w:val="00E8384B"/>
    <w:rsid w:val="00E83E98"/>
    <w:rsid w:val="00E8480F"/>
    <w:rsid w:val="00EA1A14"/>
    <w:rsid w:val="00EB0DF5"/>
    <w:rsid w:val="00EC0693"/>
    <w:rsid w:val="00EC0D08"/>
    <w:rsid w:val="00EC3FF1"/>
    <w:rsid w:val="00EC4A0A"/>
    <w:rsid w:val="00EC4A9B"/>
    <w:rsid w:val="00EC5267"/>
    <w:rsid w:val="00EC5EE6"/>
    <w:rsid w:val="00EC7330"/>
    <w:rsid w:val="00ED03AD"/>
    <w:rsid w:val="00ED0C59"/>
    <w:rsid w:val="00ED110E"/>
    <w:rsid w:val="00ED2B5E"/>
    <w:rsid w:val="00ED4D3A"/>
    <w:rsid w:val="00ED78EE"/>
    <w:rsid w:val="00EE0ABC"/>
    <w:rsid w:val="00EE0BF0"/>
    <w:rsid w:val="00EE3CE0"/>
    <w:rsid w:val="00EE449D"/>
    <w:rsid w:val="00EE4951"/>
    <w:rsid w:val="00EE517B"/>
    <w:rsid w:val="00EE7345"/>
    <w:rsid w:val="00EF044D"/>
    <w:rsid w:val="00EF1A60"/>
    <w:rsid w:val="00EF470E"/>
    <w:rsid w:val="00EF4EA3"/>
    <w:rsid w:val="00EF5AD5"/>
    <w:rsid w:val="00EF6715"/>
    <w:rsid w:val="00F02B30"/>
    <w:rsid w:val="00F02E92"/>
    <w:rsid w:val="00F0560A"/>
    <w:rsid w:val="00F13C7E"/>
    <w:rsid w:val="00F141D0"/>
    <w:rsid w:val="00F15B0B"/>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6F9B"/>
    <w:rsid w:val="00F772C1"/>
    <w:rsid w:val="00F810DB"/>
    <w:rsid w:val="00F82BA5"/>
    <w:rsid w:val="00F858FD"/>
    <w:rsid w:val="00F868F7"/>
    <w:rsid w:val="00F87E98"/>
    <w:rsid w:val="00F94497"/>
    <w:rsid w:val="00F954EA"/>
    <w:rsid w:val="00F95B17"/>
    <w:rsid w:val="00FA206D"/>
    <w:rsid w:val="00FA33ED"/>
    <w:rsid w:val="00FA6D95"/>
    <w:rsid w:val="00FA7DD2"/>
    <w:rsid w:val="00FB693A"/>
    <w:rsid w:val="00FB6956"/>
    <w:rsid w:val="00FB7024"/>
    <w:rsid w:val="00FB72A5"/>
    <w:rsid w:val="00FC30F3"/>
    <w:rsid w:val="00FD29C8"/>
    <w:rsid w:val="00FD467E"/>
    <w:rsid w:val="00FD78AF"/>
    <w:rsid w:val="00FE13DF"/>
    <w:rsid w:val="00FF18A2"/>
    <w:rsid w:val="00FF4A95"/>
    <w:rsid w:val="00FF658E"/>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365785262">
      <w:bodyDiv w:val="1"/>
      <w:marLeft w:val="0"/>
      <w:marRight w:val="0"/>
      <w:marTop w:val="0"/>
      <w:marBottom w:val="0"/>
      <w:divBdr>
        <w:top w:val="none" w:sz="0" w:space="0" w:color="auto"/>
        <w:left w:val="none" w:sz="0" w:space="0" w:color="auto"/>
        <w:bottom w:val="none" w:sz="0" w:space="0" w:color="auto"/>
        <w:right w:val="none" w:sz="0" w:space="0" w:color="auto"/>
      </w:divBdr>
      <w:divsChild>
        <w:div w:id="777481242">
          <w:marLeft w:val="446"/>
          <w:marRight w:val="0"/>
          <w:marTop w:val="0"/>
          <w:marBottom w:val="0"/>
          <w:divBdr>
            <w:top w:val="none" w:sz="0" w:space="0" w:color="auto"/>
            <w:left w:val="none" w:sz="0" w:space="0" w:color="auto"/>
            <w:bottom w:val="none" w:sz="0" w:space="0" w:color="auto"/>
            <w:right w:val="none" w:sz="0" w:space="0" w:color="auto"/>
          </w:divBdr>
        </w:div>
      </w:divsChild>
    </w:div>
    <w:div w:id="1398934465">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1537694005">
      <w:bodyDiv w:val="1"/>
      <w:marLeft w:val="0"/>
      <w:marRight w:val="0"/>
      <w:marTop w:val="0"/>
      <w:marBottom w:val="0"/>
      <w:divBdr>
        <w:top w:val="none" w:sz="0" w:space="0" w:color="auto"/>
        <w:left w:val="none" w:sz="0" w:space="0" w:color="auto"/>
        <w:bottom w:val="none" w:sz="0" w:space="0" w:color="auto"/>
        <w:right w:val="none" w:sz="0" w:space="0" w:color="auto"/>
      </w:divBdr>
    </w:div>
    <w:div w:id="1646081121">
      <w:bodyDiv w:val="1"/>
      <w:marLeft w:val="0"/>
      <w:marRight w:val="0"/>
      <w:marTop w:val="0"/>
      <w:marBottom w:val="0"/>
      <w:divBdr>
        <w:top w:val="none" w:sz="0" w:space="0" w:color="auto"/>
        <w:left w:val="none" w:sz="0" w:space="0" w:color="auto"/>
        <w:bottom w:val="none" w:sz="0" w:space="0" w:color="auto"/>
        <w:right w:val="none" w:sz="0" w:space="0" w:color="auto"/>
      </w:divBdr>
      <w:divsChild>
        <w:div w:id="895581519">
          <w:marLeft w:val="446"/>
          <w:marRight w:val="0"/>
          <w:marTop w:val="0"/>
          <w:marBottom w:val="0"/>
          <w:divBdr>
            <w:top w:val="none" w:sz="0" w:space="0" w:color="auto"/>
            <w:left w:val="none" w:sz="0" w:space="0" w:color="auto"/>
            <w:bottom w:val="none" w:sz="0" w:space="0" w:color="auto"/>
            <w:right w:val="none" w:sz="0" w:space="0" w:color="auto"/>
          </w:divBdr>
        </w:div>
      </w:divsChild>
    </w:div>
    <w:div w:id="1992520210">
      <w:bodyDiv w:val="1"/>
      <w:marLeft w:val="0"/>
      <w:marRight w:val="0"/>
      <w:marTop w:val="0"/>
      <w:marBottom w:val="0"/>
      <w:divBdr>
        <w:top w:val="none" w:sz="0" w:space="0" w:color="auto"/>
        <w:left w:val="none" w:sz="0" w:space="0" w:color="auto"/>
        <w:bottom w:val="none" w:sz="0" w:space="0" w:color="auto"/>
        <w:right w:val="none" w:sz="0" w:space="0" w:color="auto"/>
      </w:divBdr>
      <w:divsChild>
        <w:div w:id="113792109">
          <w:marLeft w:val="446"/>
          <w:marRight w:val="0"/>
          <w:marTop w:val="0"/>
          <w:marBottom w:val="0"/>
          <w:divBdr>
            <w:top w:val="none" w:sz="0" w:space="0" w:color="auto"/>
            <w:left w:val="none" w:sz="0" w:space="0" w:color="auto"/>
            <w:bottom w:val="none" w:sz="0" w:space="0" w:color="auto"/>
            <w:right w:val="none" w:sz="0" w:space="0" w:color="auto"/>
          </w:divBdr>
        </w:div>
      </w:divsChild>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'价差 IFIND'!$D$3</c:f>
              <c:strCache>
                <c:ptCount val="1"/>
                <c:pt idx="0">
                  <c:v>价差(右轴）</c:v>
                </c:pt>
              </c:strCache>
            </c:strRef>
          </c:tx>
          <c:spPr>
            <a:solidFill>
              <a:schemeClr val="accent3"/>
            </a:solidFill>
            <a:ln>
              <a:noFill/>
            </a:ln>
            <a:effectLst/>
          </c:spPr>
          <c:invertIfNegative val="0"/>
          <c:cat>
            <c:numRef>
              <c:f>'价差 IFIND'!$A$4:$A$10</c:f>
              <c:numCache>
                <c:formatCode>yyyy\-mm\-dd;@</c:formatCode>
                <c:ptCount val="7"/>
                <c:pt idx="0">
                  <c:v>46195</c:v>
                </c:pt>
                <c:pt idx="1">
                  <c:v>46194</c:v>
                </c:pt>
                <c:pt idx="2">
                  <c:v>46193</c:v>
                </c:pt>
                <c:pt idx="3">
                  <c:v>46192</c:v>
                </c:pt>
                <c:pt idx="4">
                  <c:v>46191</c:v>
                </c:pt>
                <c:pt idx="5">
                  <c:v>46190</c:v>
                </c:pt>
                <c:pt idx="6">
                  <c:v>46189</c:v>
                </c:pt>
              </c:numCache>
            </c:numRef>
          </c:cat>
          <c:val>
            <c:numRef>
              <c:f>'价差 IFIND'!$D$4:$D$10</c:f>
              <c:numCache>
                <c:formatCode>#,##0.0000_ </c:formatCode>
                <c:ptCount val="7"/>
                <c:pt idx="0">
                  <c:v>-7.4067739343588457E-3</c:v>
                </c:pt>
                <c:pt idx="1">
                  <c:v>-2.1295337163253159E-2</c:v>
                </c:pt>
                <c:pt idx="2">
                  <c:v>-2.1069625225707433E-2</c:v>
                </c:pt>
                <c:pt idx="3">
                  <c:v>-1.4454699836290885E-2</c:v>
                </c:pt>
                <c:pt idx="4">
                  <c:v>-1.1218180978333159E-2</c:v>
                </c:pt>
                <c:pt idx="5">
                  <c:v>-1.2506540467134286E-3</c:v>
                </c:pt>
                <c:pt idx="6">
                  <c:v>2.6592270472036716E-3</c:v>
                </c:pt>
              </c:numCache>
            </c:numRef>
          </c:val>
          <c:extLst>
            <c:ext xmlns:c16="http://schemas.microsoft.com/office/drawing/2014/chart" uri="{C3380CC4-5D6E-409C-BE32-E72D297353CC}">
              <c16:uniqueId val="{00000000-1F69-4355-B510-8855019621AA}"/>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 IFIND'!$B$2</c:f>
              <c:strCache>
                <c:ptCount val="1"/>
                <c:pt idx="0">
                  <c:v>美元兑人民币</c:v>
                </c:pt>
              </c:strCache>
            </c:strRef>
          </c:tx>
          <c:spPr>
            <a:ln w="28575" cap="rnd">
              <a:solidFill>
                <a:schemeClr val="accent1"/>
              </a:solidFill>
              <a:round/>
            </a:ln>
            <a:effectLst/>
          </c:spPr>
          <c:marker>
            <c:symbol val="none"/>
          </c:marker>
          <c:cat>
            <c:numRef>
              <c:f>'价差 IFIND'!$A$4:$A$10</c:f>
              <c:numCache>
                <c:formatCode>yyyy\-mm\-dd;@</c:formatCode>
                <c:ptCount val="7"/>
                <c:pt idx="0">
                  <c:v>46195</c:v>
                </c:pt>
                <c:pt idx="1">
                  <c:v>46194</c:v>
                </c:pt>
                <c:pt idx="2">
                  <c:v>46193</c:v>
                </c:pt>
                <c:pt idx="3">
                  <c:v>46192</c:v>
                </c:pt>
                <c:pt idx="4">
                  <c:v>46191</c:v>
                </c:pt>
                <c:pt idx="5">
                  <c:v>46190</c:v>
                </c:pt>
                <c:pt idx="6">
                  <c:v>46189</c:v>
                </c:pt>
              </c:numCache>
            </c:numRef>
          </c:cat>
          <c:val>
            <c:numRef>
              <c:f>'价差 IFIND'!$B$4:$B$10</c:f>
              <c:numCache>
                <c:formatCode>#,##0.0000_ </c:formatCode>
                <c:ptCount val="7"/>
                <c:pt idx="0">
                  <c:v>6.7728030737889577</c:v>
                </c:pt>
                <c:pt idx="1">
                  <c:v>6.7690014492246062</c:v>
                </c:pt>
                <c:pt idx="2">
                  <c:v>6.7692108795845067</c:v>
                </c:pt>
                <c:pt idx="3">
                  <c:v>6.7697478211521798</c:v>
                </c:pt>
                <c:pt idx="4">
                  <c:v>6.7642276998443638</c:v>
                </c:pt>
                <c:pt idx="5">
                  <c:v>6.7579312961482962</c:v>
                </c:pt>
                <c:pt idx="6">
                  <c:v>6.7593149694209131</c:v>
                </c:pt>
              </c:numCache>
            </c:numRef>
          </c:val>
          <c:smooth val="0"/>
          <c:extLst>
            <c:ext xmlns:c16="http://schemas.microsoft.com/office/drawing/2014/chart" uri="{C3380CC4-5D6E-409C-BE32-E72D297353CC}">
              <c16:uniqueId val="{00000001-1F69-4355-B510-8855019621AA}"/>
            </c:ext>
          </c:extLst>
        </c:ser>
        <c:ser>
          <c:idx val="1"/>
          <c:order val="1"/>
          <c:tx>
            <c:strRef>
              <c:f>'价差 IFIND'!$C$2</c:f>
              <c:strCache>
                <c:ptCount val="1"/>
                <c:pt idx="0">
                  <c:v>美元兑离岸人民币</c:v>
                </c:pt>
              </c:strCache>
            </c:strRef>
          </c:tx>
          <c:spPr>
            <a:ln w="28575" cap="rnd">
              <a:solidFill>
                <a:srgbClr val="C00000"/>
              </a:solidFill>
              <a:round/>
            </a:ln>
            <a:effectLst/>
          </c:spPr>
          <c:marker>
            <c:symbol val="none"/>
          </c:marker>
          <c:cat>
            <c:numRef>
              <c:f>'价差 IFIND'!$A$4:$A$10</c:f>
              <c:numCache>
                <c:formatCode>yyyy\-mm\-dd;@</c:formatCode>
                <c:ptCount val="7"/>
                <c:pt idx="0">
                  <c:v>46195</c:v>
                </c:pt>
                <c:pt idx="1">
                  <c:v>46194</c:v>
                </c:pt>
                <c:pt idx="2">
                  <c:v>46193</c:v>
                </c:pt>
                <c:pt idx="3">
                  <c:v>46192</c:v>
                </c:pt>
                <c:pt idx="4">
                  <c:v>46191</c:v>
                </c:pt>
                <c:pt idx="5">
                  <c:v>46190</c:v>
                </c:pt>
                <c:pt idx="6">
                  <c:v>46189</c:v>
                </c:pt>
              </c:numCache>
            </c:numRef>
          </c:cat>
          <c:val>
            <c:numRef>
              <c:f>'价差 IFIND'!$C$4:$C$10</c:f>
              <c:numCache>
                <c:formatCode>#,##0.0000_ </c:formatCode>
                <c:ptCount val="7"/>
                <c:pt idx="0">
                  <c:v>6.7802098477233166</c:v>
                </c:pt>
                <c:pt idx="1">
                  <c:v>6.7902967863878594</c:v>
                </c:pt>
                <c:pt idx="2">
                  <c:v>6.7902805048102142</c:v>
                </c:pt>
                <c:pt idx="3">
                  <c:v>6.7842025209884707</c:v>
                </c:pt>
                <c:pt idx="4">
                  <c:v>6.7754458808226969</c:v>
                </c:pt>
                <c:pt idx="5">
                  <c:v>6.7591819501950097</c:v>
                </c:pt>
                <c:pt idx="6">
                  <c:v>6.7566557423737095</c:v>
                </c:pt>
              </c:numCache>
            </c:numRef>
          </c:val>
          <c:smooth val="0"/>
          <c:extLst>
            <c:ext xmlns:c16="http://schemas.microsoft.com/office/drawing/2014/chart" uri="{C3380CC4-5D6E-409C-BE32-E72D297353CC}">
              <c16:uniqueId val="{00000002-1F69-4355-B510-8855019621AA}"/>
            </c:ext>
          </c:extLst>
        </c:ser>
        <c:dLbls>
          <c:showLegendKey val="0"/>
          <c:showVal val="0"/>
          <c:showCatName val="0"/>
          <c:showSerName val="0"/>
          <c:showPercent val="0"/>
          <c:showBubbleSize val="0"/>
        </c:dLbls>
        <c:marker val="1"/>
        <c:smooth val="0"/>
        <c:axId val="1082696879"/>
        <c:axId val="1082683151"/>
      </c:lineChart>
      <c:dateAx>
        <c:axId val="108269687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1"/>
        <c:lblOffset val="100"/>
        <c:baseTimeUnit val="days"/>
      </c:dateAx>
      <c:valAx>
        <c:axId val="1082683151"/>
        <c:scaling>
          <c:orientation val="minMax"/>
        </c:scaling>
        <c:delete val="0"/>
        <c:axPos val="l"/>
        <c:numFmt formatCode="#,##0.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3E6D5-9CDC-40BE-9FD8-BF9D0EBD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cp:lastPrinted>2024-12-24T02:37:00Z</cp:lastPrinted>
  <dcterms:created xsi:type="dcterms:W3CDTF">2026-06-16T01:22:00Z</dcterms:created>
  <dcterms:modified xsi:type="dcterms:W3CDTF">2026-06-23T01:15:00Z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