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BA7AB3">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7196CF9B" w:rsidR="00CA7296" w:rsidRPr="00AA5ABE" w:rsidRDefault="00CA7296" w:rsidP="00CA7296">
      <w:pPr>
        <w:spacing w:line="312" w:lineRule="auto"/>
        <w:ind w:firstLine="420"/>
        <w:rPr>
          <w:rFonts w:ascii="宋体" w:hAnsi="宋体"/>
        </w:rPr>
      </w:pPr>
      <w:r>
        <w:t>周</w:t>
      </w:r>
      <w:r w:rsidR="00BD1196">
        <w:rPr>
          <w:rFonts w:hint="eastAsia"/>
        </w:rPr>
        <w:t>五</w:t>
      </w:r>
      <w:r>
        <w:rPr>
          <w:rFonts w:hint="eastAsia"/>
        </w:rPr>
        <w:t>（</w:t>
      </w:r>
      <w:r w:rsidR="007256FB">
        <w:t>6</w:t>
      </w:r>
      <w:r>
        <w:rPr>
          <w:rFonts w:hint="eastAsia"/>
        </w:rPr>
        <w:t>月</w:t>
      </w:r>
      <w:r w:rsidR="00BD1196">
        <w:t>26</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154921">
        <w:rPr>
          <w:rFonts w:ascii="宋体" w:hAnsi="宋体" w:cs="宋体"/>
        </w:rPr>
        <w:t>1</w:t>
      </w:r>
      <w:r w:rsidR="00BA7AB3">
        <w:rPr>
          <w:rFonts w:ascii="宋体" w:hAnsi="宋体" w:cs="宋体"/>
        </w:rPr>
        <w:t>66</w:t>
      </w:r>
      <w:r>
        <w:rPr>
          <w:rFonts w:ascii="宋体" w:hAnsi="宋体" w:cs="宋体"/>
        </w:rPr>
        <w:t>，</w:t>
      </w:r>
      <w:r w:rsidR="00E648F1">
        <w:rPr>
          <w:rFonts w:ascii="宋体" w:hAnsi="宋体" w:cs="宋体" w:hint="eastAsia"/>
        </w:rPr>
        <w:t>调</w:t>
      </w:r>
      <w:r w:rsidR="00BA7AB3">
        <w:rPr>
          <w:rFonts w:ascii="宋体" w:hAnsi="宋体" w:cs="宋体" w:hint="eastAsia"/>
        </w:rPr>
        <w:t>贬4</w:t>
      </w:r>
      <w:r w:rsidR="00BA7AB3">
        <w:rPr>
          <w:rFonts w:ascii="宋体" w:hAnsi="宋体" w:cs="宋体"/>
        </w:rPr>
        <w:t>3</w:t>
      </w:r>
      <w:r w:rsidR="00E648F1">
        <w:rPr>
          <w:rFonts w:ascii="宋体" w:hAnsi="宋体" w:cs="宋体" w:hint="eastAsia"/>
        </w:rPr>
        <w:t>个基点</w:t>
      </w:r>
      <w:r>
        <w:rPr>
          <w:rFonts w:ascii="宋体" w:hAnsi="宋体" w:cs="宋体" w:hint="eastAsia"/>
        </w:rPr>
        <w:t>，累计调</w:t>
      </w:r>
      <w:r w:rsidR="00BA7AB3">
        <w:rPr>
          <w:rFonts w:ascii="宋体" w:hAnsi="宋体" w:cs="宋体" w:hint="eastAsia"/>
        </w:rPr>
        <w:t>升3</w:t>
      </w:r>
      <w:r w:rsidR="00BA7AB3">
        <w:rPr>
          <w:rFonts w:ascii="宋体" w:hAnsi="宋体" w:cs="宋体"/>
        </w:rPr>
        <w:t>6</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B221EB">
        <w:rPr>
          <w:rFonts w:ascii="宋体" w:hAnsi="宋体"/>
        </w:rPr>
        <w:t>9</w:t>
      </w:r>
      <w:r w:rsidRPr="00AA5ABE">
        <w:rPr>
          <w:rFonts w:ascii="宋体" w:hAnsi="宋体" w:hint="eastAsia"/>
        </w:rPr>
        <w:t>收</w:t>
      </w:r>
      <w:r w:rsidR="00D26229">
        <w:rPr>
          <w:rFonts w:ascii="宋体" w:hAnsi="宋体" w:hint="eastAsia"/>
        </w:rPr>
        <w:t>涨</w:t>
      </w:r>
      <w:r w:rsidR="0051119D">
        <w:rPr>
          <w:rFonts w:ascii="宋体" w:hAnsi="宋体" w:hint="eastAsia"/>
        </w:rPr>
        <w:t>0</w:t>
      </w:r>
      <w:r w:rsidR="0051119D">
        <w:rPr>
          <w:rFonts w:ascii="宋体" w:hAnsi="宋体"/>
        </w:rPr>
        <w:t>.</w:t>
      </w:r>
      <w:r w:rsidR="00D26229">
        <w:rPr>
          <w:rFonts w:ascii="宋体" w:hAnsi="宋体"/>
        </w:rPr>
        <w:t>61</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B221EB">
        <w:rPr>
          <w:rFonts w:ascii="宋体" w:hAnsi="宋体"/>
        </w:rPr>
        <w:t>U</w:t>
      </w:r>
      <w:r w:rsidR="00AA5ABE" w:rsidRPr="00AA5ABE">
        <w:rPr>
          <w:rFonts w:ascii="宋体" w:hAnsi="宋体"/>
        </w:rPr>
        <w:t>26</w:t>
      </w:r>
      <w:r w:rsidRPr="00AA5ABE">
        <w:rPr>
          <w:rFonts w:ascii="宋体" w:hAnsi="宋体" w:hint="eastAsia"/>
        </w:rPr>
        <w:t>收</w:t>
      </w:r>
      <w:r w:rsidR="003B3A79">
        <w:rPr>
          <w:rFonts w:ascii="宋体" w:hAnsi="宋体" w:hint="eastAsia"/>
        </w:rPr>
        <w:t>涨</w:t>
      </w:r>
      <w:r w:rsidR="0051119D">
        <w:rPr>
          <w:rFonts w:ascii="宋体" w:hAnsi="宋体" w:hint="eastAsia"/>
        </w:rPr>
        <w:t>0</w:t>
      </w:r>
      <w:r w:rsidR="0051119D">
        <w:rPr>
          <w:rFonts w:ascii="宋体" w:hAnsi="宋体"/>
        </w:rPr>
        <w:t>.</w:t>
      </w:r>
      <w:r w:rsidR="00D26229">
        <w:rPr>
          <w:rFonts w:ascii="宋体" w:hAnsi="宋体"/>
        </w:rPr>
        <w:t>21</w:t>
      </w:r>
      <w:r w:rsidR="007844B4" w:rsidRPr="00AA5ABE">
        <w:rPr>
          <w:rFonts w:ascii="宋体" w:hAnsi="宋体"/>
        </w:rPr>
        <w:t>%</w:t>
      </w:r>
      <w:r w:rsidRPr="00AA5ABE">
        <w:rPr>
          <w:rFonts w:ascii="宋体" w:hAnsi="宋体" w:hint="eastAsia"/>
        </w:rPr>
        <w:t>。</w:t>
      </w:r>
    </w:p>
    <w:p w14:paraId="2A8620FC" w14:textId="3070A97D"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D26229">
        <w:rPr>
          <w:rFonts w:ascii="宋体" w:hAnsi="宋体" w:cs="宋体"/>
        </w:rPr>
        <w:t>997</w:t>
      </w:r>
      <w:r>
        <w:t>，</w:t>
      </w:r>
      <w:r>
        <w:rPr>
          <w:rFonts w:hint="eastAsia"/>
        </w:rPr>
        <w:t>美元兑离岸人民币收报</w:t>
      </w:r>
      <w:r w:rsidR="003A699C">
        <w:t>6</w:t>
      </w:r>
      <w:r w:rsidR="00C870C1">
        <w:t>.</w:t>
      </w:r>
      <w:r w:rsidR="00D26229">
        <w:t>8050</w:t>
      </w:r>
      <w:r>
        <w:rPr>
          <w:rFonts w:hint="eastAsia"/>
        </w:rPr>
        <w:t>，在当周</w:t>
      </w:r>
      <w:r>
        <w:t>分别</w:t>
      </w:r>
      <w:r w:rsidR="00374735">
        <w:rPr>
          <w:rFonts w:hint="eastAsia"/>
        </w:rPr>
        <w:t>上涨</w:t>
      </w:r>
      <w:r w:rsidR="002A6475">
        <w:rPr>
          <w:rFonts w:hint="eastAsia"/>
        </w:rPr>
        <w:t>0</w:t>
      </w:r>
      <w:r w:rsidR="002A6475">
        <w:t>.</w:t>
      </w:r>
      <w:r w:rsidR="00CD2629">
        <w:t>3</w:t>
      </w:r>
      <w:r w:rsidR="00D26229">
        <w:t>7</w:t>
      </w:r>
      <w:r w:rsidR="002A6475">
        <w:t>%</w:t>
      </w:r>
      <w:r>
        <w:t>和</w:t>
      </w:r>
      <w:r w:rsidR="00374735">
        <w:rPr>
          <w:rFonts w:hint="eastAsia"/>
        </w:rPr>
        <w:t>上涨</w:t>
      </w:r>
      <w:r w:rsidR="00374735">
        <w:rPr>
          <w:rFonts w:hint="eastAsia"/>
        </w:rPr>
        <w:t>0</w:t>
      </w:r>
      <w:r w:rsidR="002A6475">
        <w:t>.</w:t>
      </w:r>
      <w:r w:rsidR="00374735">
        <w:t>3</w:t>
      </w:r>
      <w:r w:rsidR="00D26229">
        <w:t>0</w:t>
      </w:r>
      <w:r w:rsidR="002A6475">
        <w:t>%</w:t>
      </w:r>
      <w:r>
        <w:t>。欧元兑人民币报</w:t>
      </w:r>
      <w:r w:rsidR="0051119D">
        <w:t>7</w:t>
      </w:r>
      <w:r w:rsidR="00374735">
        <w:t>.7</w:t>
      </w:r>
      <w:r w:rsidR="00D26229">
        <w:t>700</w:t>
      </w:r>
      <w:r>
        <w:t>、英镑兑人民币报</w:t>
      </w:r>
      <w:r w:rsidR="00374735">
        <w:t>8.9</w:t>
      </w:r>
      <w:r w:rsidR="00D26229">
        <w:t>818</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D26229">
        <w:t>050</w:t>
      </w:r>
      <w:r w:rsidR="000959E1">
        <w:rPr>
          <w:rFonts w:hint="eastAsia"/>
        </w:rPr>
        <w:t>、</w:t>
      </w:r>
      <w:r>
        <w:t>澳元兑人民币报</w:t>
      </w:r>
      <w:r>
        <w:t>4</w:t>
      </w:r>
      <w:r w:rsidR="006B50D4">
        <w:t>.</w:t>
      </w:r>
      <w:r w:rsidR="00D26229">
        <w:t>6898</w:t>
      </w:r>
      <w:r>
        <w:rPr>
          <w:rFonts w:hint="eastAsia"/>
        </w:rPr>
        <w:t>，在当</w:t>
      </w:r>
      <w:r>
        <w:t>周分别</w:t>
      </w:r>
      <w:r w:rsidR="00D26229">
        <w:rPr>
          <w:rFonts w:hint="eastAsia"/>
        </w:rPr>
        <w:t>涨</w:t>
      </w:r>
      <w:r w:rsidR="005963F1">
        <w:t>0.</w:t>
      </w:r>
      <w:r w:rsidR="00D26229">
        <w:t>0</w:t>
      </w:r>
      <w:r w:rsidR="00374735">
        <w:t>7</w:t>
      </w:r>
      <w:r w:rsidR="002A6475">
        <w:t>%</w:t>
      </w:r>
      <w:r>
        <w:t>、</w:t>
      </w:r>
      <w:r w:rsidR="00D26229">
        <w:rPr>
          <w:rFonts w:hint="eastAsia"/>
        </w:rPr>
        <w:t>涨</w:t>
      </w:r>
      <w:r w:rsidR="00D26229">
        <w:rPr>
          <w:rFonts w:hint="eastAsia"/>
        </w:rPr>
        <w:t>0</w:t>
      </w:r>
      <w:r w:rsidR="00D26229">
        <w:t>.26</w:t>
      </w:r>
      <w:r w:rsidR="00DD51CB">
        <w:t>%</w:t>
      </w:r>
      <w:r>
        <w:rPr>
          <w:rFonts w:hint="eastAsia"/>
        </w:rPr>
        <w:t>、</w:t>
      </w:r>
      <w:r w:rsidR="000A05D9">
        <w:rPr>
          <w:rFonts w:hint="eastAsia"/>
        </w:rPr>
        <w:t>跌</w:t>
      </w:r>
      <w:r w:rsidR="005963F1">
        <w:t>0.</w:t>
      </w:r>
      <w:r w:rsidR="00D26229">
        <w:t>1</w:t>
      </w:r>
      <w:r w:rsidR="00374735">
        <w:t>3</w:t>
      </w:r>
      <w:r w:rsidR="002A6475">
        <w:t>%</w:t>
      </w:r>
      <w:r>
        <w:t>和</w:t>
      </w:r>
      <w:r w:rsidR="00CD2629">
        <w:rPr>
          <w:rFonts w:hint="eastAsia"/>
        </w:rPr>
        <w:t>跌</w:t>
      </w:r>
      <w:r w:rsidR="00D26229">
        <w:t>1.16</w:t>
      </w:r>
      <w:r w:rsidR="00FF18A2">
        <w:t>%</w:t>
      </w:r>
      <w:r>
        <w:t>。</w:t>
      </w:r>
    </w:p>
    <w:p w14:paraId="76AC2601" w14:textId="6D40C5B7"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FE51DD" w:rsidRPr="00FE51DD">
        <w:rPr>
          <w:rFonts w:hint="eastAsia"/>
        </w:rPr>
        <w:t>22655</w:t>
      </w:r>
      <w:r w:rsidR="00FE51DD" w:rsidRPr="00FE51DD">
        <w:rPr>
          <w:rFonts w:hint="eastAsia"/>
        </w:rPr>
        <w:t>亿元</w:t>
      </w:r>
      <w:r w:rsidR="00FE51DD" w:rsidRPr="00FE51DD">
        <w:rPr>
          <w:rFonts w:hint="eastAsia"/>
        </w:rPr>
        <w:t>7</w:t>
      </w:r>
      <w:r w:rsidR="00FE51DD" w:rsidRPr="00FE51DD">
        <w:rPr>
          <w:rFonts w:hint="eastAsia"/>
        </w:rPr>
        <w:t>天期逆回购和</w:t>
      </w:r>
      <w:r w:rsidR="00FE51DD" w:rsidRPr="00FE51DD">
        <w:rPr>
          <w:rFonts w:hint="eastAsia"/>
        </w:rPr>
        <w:t>5000</w:t>
      </w:r>
      <w:r w:rsidR="00FE51DD" w:rsidRPr="00FE51DD">
        <w:rPr>
          <w:rFonts w:hint="eastAsia"/>
        </w:rPr>
        <w:t>亿元</w:t>
      </w:r>
      <w:r w:rsidR="00FE51DD" w:rsidRPr="00FE51DD">
        <w:rPr>
          <w:rFonts w:hint="eastAsia"/>
        </w:rPr>
        <w:t>MLF</w:t>
      </w:r>
      <w:r w:rsidR="00FE51DD" w:rsidRPr="00FE51DD">
        <w:rPr>
          <w:rFonts w:hint="eastAsia"/>
        </w:rPr>
        <w:t>操作，</w:t>
      </w:r>
      <w:r w:rsidR="00FE51DD">
        <w:rPr>
          <w:rFonts w:hint="eastAsia"/>
        </w:rPr>
        <w:t>当</w:t>
      </w:r>
      <w:r w:rsidR="00FE51DD" w:rsidRPr="00FE51DD">
        <w:rPr>
          <w:rFonts w:hint="eastAsia"/>
        </w:rPr>
        <w:t>周央行公开市场有</w:t>
      </w:r>
      <w:r w:rsidR="00FE51DD" w:rsidRPr="00FE51DD">
        <w:rPr>
          <w:rFonts w:hint="eastAsia"/>
        </w:rPr>
        <w:t>19358</w:t>
      </w:r>
      <w:r w:rsidR="00FE51DD" w:rsidRPr="00FE51DD">
        <w:rPr>
          <w:rFonts w:hint="eastAsia"/>
        </w:rPr>
        <w:t>亿元逆回购和</w:t>
      </w:r>
      <w:r w:rsidR="00FE51DD" w:rsidRPr="00FE51DD">
        <w:rPr>
          <w:rFonts w:hint="eastAsia"/>
        </w:rPr>
        <w:t>3000</w:t>
      </w:r>
      <w:r w:rsidR="00FE51DD" w:rsidRPr="00FE51DD">
        <w:rPr>
          <w:rFonts w:hint="eastAsia"/>
        </w:rPr>
        <w:t>亿元</w:t>
      </w:r>
      <w:r w:rsidR="00FE51DD" w:rsidRPr="00FE51DD">
        <w:rPr>
          <w:rFonts w:hint="eastAsia"/>
        </w:rPr>
        <w:t>MLF</w:t>
      </w:r>
      <w:r w:rsidR="00FE51DD" w:rsidRPr="00FE51DD">
        <w:rPr>
          <w:rFonts w:hint="eastAsia"/>
        </w:rPr>
        <w:t>到期，因此净投放</w:t>
      </w:r>
      <w:r w:rsidR="00FE51DD" w:rsidRPr="00FE51DD">
        <w:rPr>
          <w:rFonts w:hint="eastAsia"/>
        </w:rPr>
        <w:t>5297</w:t>
      </w:r>
      <w:r w:rsidR="00FE51DD" w:rsidRPr="00FE51DD">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3FCB9041"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E75842" w:rsidRPr="00E75842">
        <w:rPr>
          <w:rFonts w:ascii="宋体" w:hAnsi="宋体" w:hint="eastAsia"/>
        </w:rPr>
        <w:t>国务院常务会议听取人工智能发展情况汇报。会议指出，要深刻把握人工智能演进趋势，完善支持政策和治理体系，牢牢掌握发展主动权。要加力推进人工智能创新突破，加快关键技术攻关和超大规模智算集群建设。要深入实施“人工智能+”行动。要守牢人工智能安全底线，构建动态适应、分级分类的安全监管体系。会议研究当前外贸形势和贸易强国建设有关工作，审议通过《“十五五”碳达峰行动方案》和《国民健康“十五五”规划》。</w:t>
      </w:r>
    </w:p>
    <w:p w14:paraId="3316BE34" w14:textId="0E517334" w:rsidR="00785749" w:rsidRPr="0011314B" w:rsidRDefault="00CA7296" w:rsidP="0011314B">
      <w:pPr>
        <w:spacing w:line="312" w:lineRule="auto"/>
        <w:ind w:firstLine="420"/>
        <w:rPr>
          <w:rFonts w:ascii="宋体" w:hAnsi="宋体"/>
        </w:rPr>
      </w:pPr>
      <w:r w:rsidRPr="0086476E">
        <w:rPr>
          <w:rFonts w:ascii="宋体" w:hAnsi="宋体" w:hint="eastAsia"/>
        </w:rPr>
        <w:t>2、</w:t>
      </w:r>
      <w:r w:rsidR="00E75842" w:rsidRPr="00E75842">
        <w:rPr>
          <w:rFonts w:ascii="宋体" w:hAnsi="宋体" w:hint="eastAsia"/>
        </w:rPr>
        <w:t>六部门印发“美丽中国”全民行动5年计划，共设置五大方面15项具体举措。在引导生活方式绿色转型方面，聚焦公众吃、穿、住、行、用、游等领域，探索建立积分兑换、商业折扣、公共服务兑换等多元激励机制。</w:t>
      </w:r>
    </w:p>
    <w:p w14:paraId="0E3CF4D4" w14:textId="27CB7293"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E75842" w:rsidRPr="00E75842">
        <w:rPr>
          <w:rFonts w:ascii="宋体" w:hAnsi="宋体" w:hint="eastAsia"/>
        </w:rPr>
        <w:t>伊朗外交部发言人巴加埃表示，伊方未来几天没有与美方开展任何谈判的计划。伊朗专家代表团将前往多哈跟进《伊斯兰堡谅解备忘录》执行情况，但这一访问与美方代表团对卡塔尔访问无关。美国总统特朗普坚称，会谈将于6月30日在卡塔尔多哈举行。美国白宫新闻秘书莱维特表示，美国总统特使威特科夫和特朗普的女婿库什纳“本周将飞往多哈”参加会谈。</w:t>
      </w:r>
    </w:p>
    <w:p w14:paraId="630B9579" w14:textId="1EE98545"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E75842" w:rsidRPr="00E75842">
        <w:rPr>
          <w:rFonts w:ascii="宋体" w:hAnsi="宋体" w:hint="eastAsia"/>
        </w:rPr>
        <w:t>国际清算银行发布报告称，全球公共债务攀升、金融体系脆弱性凸显、人工智能投资热潮可持续性存疑等多重因素正在放大全球经济风险，各国必须实施稳健审慎的宏观政策。霍尔木兹海峡“历史性关闭”引发能源及其他原材料供应危机，对全球经济前景构成新的威胁。尽管地缘政治紧张局势有所缓解且油价大幅下跌，但此次冲击造成的影响可能持续存在。</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02408DB4" w:rsidR="00CA7296" w:rsidRDefault="00BA7AB3"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0188F29C" wp14:editId="0A0CD77E">
            <wp:extent cx="3314700" cy="17371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6081" cy="1764069"/>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5F1D2043" w:rsidR="00CA7296" w:rsidRDefault="00E75842" w:rsidP="00CA7296">
      <w:pPr>
        <w:spacing w:line="360" w:lineRule="auto"/>
        <w:jc w:val="center"/>
        <w:rPr>
          <w:rFonts w:ascii="宋体" w:hAnsi="宋体"/>
          <w:sz w:val="18"/>
          <w:szCs w:val="18"/>
        </w:rPr>
      </w:pPr>
      <w:r>
        <w:rPr>
          <w:noProof/>
        </w:rPr>
        <w:drawing>
          <wp:inline distT="0" distB="0" distL="0" distR="0" wp14:anchorId="7B6B9017" wp14:editId="51BD0F80">
            <wp:extent cx="5021299" cy="327660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5031" cy="3279035"/>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4C5FF5BC" w:rsidR="00CA7296" w:rsidRPr="00AB4AA6" w:rsidRDefault="00BA7AB3" w:rsidP="00AB4AA6">
      <w:pPr>
        <w:jc w:val="center"/>
      </w:pPr>
      <w:r>
        <w:rPr>
          <w:noProof/>
        </w:rPr>
        <w:drawing>
          <wp:inline distT="0" distB="0" distL="0" distR="0" wp14:anchorId="186311DA" wp14:editId="6698694F">
            <wp:extent cx="3419475" cy="201960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6077" cy="2064847"/>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EEA7B20" w:rsidR="00CA7296" w:rsidRDefault="00E75842" w:rsidP="00CA7296">
      <w:pPr>
        <w:jc w:val="center"/>
      </w:pPr>
      <w:r>
        <w:rPr>
          <w:noProof/>
        </w:rPr>
        <w:drawing>
          <wp:inline distT="0" distB="0" distL="0" distR="0" wp14:anchorId="44824627" wp14:editId="7532FDCD">
            <wp:extent cx="5029200" cy="2487958"/>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4945" cy="2490800"/>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bookmarkStart w:id="0" w:name="_GoBack"/>
      <w:bookmarkEnd w:id="0"/>
    </w:p>
    <w:p w14:paraId="2EA731AA" w14:textId="4D6B5D07" w:rsidR="00CA7296" w:rsidRDefault="00BA7AB3" w:rsidP="00CA7296">
      <w:pPr>
        <w:jc w:val="center"/>
      </w:pPr>
      <w:r>
        <w:rPr>
          <w:noProof/>
        </w:rPr>
        <w:drawing>
          <wp:inline distT="0" distB="0" distL="0" distR="0" wp14:anchorId="2ADCC018" wp14:editId="6A560CB8">
            <wp:extent cx="3409950" cy="204014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40323" cy="2058313"/>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1D0BE1D">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230CDEBD" w14:textId="77777777" w:rsidR="00BA7AB3" w:rsidRDefault="00BA7AB3" w:rsidP="00103A47">
      <w:pPr>
        <w:spacing w:line="312" w:lineRule="auto"/>
        <w:ind w:firstLine="420"/>
        <w:rPr>
          <w:rFonts w:ascii="宋体" w:hAnsi="宋体" w:cs="宋体"/>
        </w:rPr>
      </w:pPr>
      <w:r w:rsidRPr="00BA7AB3">
        <w:rPr>
          <w:rFonts w:ascii="宋体" w:hAnsi="宋体" w:cs="宋体" w:hint="eastAsia"/>
        </w:rPr>
        <w:t>美国6月标普全球制造业PMI升至55.7，创2022年5月以来新高，产出及新订单改善显示实体需求仍具韧性；5月PCE及核心PCE同比仍处高位，表明能源冲击向核心价格传导尚未完全消退。美联储6月FOMC维持利率不变，但近半官员支持年内加息，通胀预测上修，政策路径不确定性上升。美伊虽推进霍尔木兹海峡复航议程，但核问题及浓缩铀处置仍未突破，避险需求支撑美元。展望来看，若美伊谈判取得实质进展，美元避险溢价或阶段性回落，但在美国数据韧性、通胀偏高及联储鹰派基调未变前，美元短期仍具支撑。</w:t>
      </w:r>
    </w:p>
    <w:p w14:paraId="16FCB4C1" w14:textId="3C65A8E3" w:rsidR="00F954EA" w:rsidRPr="00BA7AB3" w:rsidRDefault="00BA7AB3" w:rsidP="00103A47">
      <w:pPr>
        <w:spacing w:line="312" w:lineRule="auto"/>
        <w:ind w:firstLine="420"/>
        <w:rPr>
          <w:rFonts w:ascii="宋体" w:hAnsi="宋体"/>
        </w:rPr>
      </w:pPr>
      <w:r w:rsidRPr="00BA7AB3">
        <w:rPr>
          <w:rFonts w:ascii="宋体" w:hAnsi="宋体" w:cs="宋体" w:hint="eastAsia"/>
        </w:rPr>
        <w:t>国内端，5月我国官方制造业PMI录得50.0，恰好落于荣枯平衡线上，反映制造业整体运行稳定，但扩张动能边际减弱，供需两端同步放缓，结构性分化加剧，新动能与传统行业、大型企业与中小企业走势背离。外需下降幅度较大，新出口订单指数大幅回落1.7个百分点至48.6%，主要受中东局势扰动全球经济、海外需求疲软等因素影响。5月我国出口同比19.4%，外贸水平再度超预期上行，全球制造业韧性强叠加输入型通胀共同助推价格端大幅上涨，量减价增特征显著。从中长期看，全球经济下行压力大、红海绕行或导致下半年出口增速承压。并且谅解备忘录的签注有助于地缘局势好转，人民币兑美元汇率波动料持续加剧。</w:t>
      </w: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9E992" w14:textId="77777777" w:rsidR="007D46A7" w:rsidRDefault="007D46A7" w:rsidP="00127060">
      <w:r>
        <w:separator/>
      </w:r>
    </w:p>
  </w:endnote>
  <w:endnote w:type="continuationSeparator" w:id="0">
    <w:p w14:paraId="778D8082" w14:textId="77777777" w:rsidR="007D46A7" w:rsidRDefault="007D46A7"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B7BCB" w14:textId="77777777" w:rsidR="007D46A7" w:rsidRDefault="007D46A7" w:rsidP="00127060">
      <w:r>
        <w:separator/>
      </w:r>
    </w:p>
  </w:footnote>
  <w:footnote w:type="continuationSeparator" w:id="0">
    <w:p w14:paraId="4B574A4A" w14:textId="77777777" w:rsidR="007D46A7" w:rsidRDefault="007D46A7"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3B4F"/>
    <w:rsid w:val="001359F0"/>
    <w:rsid w:val="001407AC"/>
    <w:rsid w:val="00140BEA"/>
    <w:rsid w:val="001431CC"/>
    <w:rsid w:val="001454F3"/>
    <w:rsid w:val="001470E8"/>
    <w:rsid w:val="00150521"/>
    <w:rsid w:val="00153427"/>
    <w:rsid w:val="00154921"/>
    <w:rsid w:val="001564E1"/>
    <w:rsid w:val="0015671A"/>
    <w:rsid w:val="001573DE"/>
    <w:rsid w:val="0016345C"/>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A6CE8"/>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4735"/>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3A79"/>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B7564"/>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C4837"/>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6A7"/>
    <w:rsid w:val="007D4B15"/>
    <w:rsid w:val="007D4C2E"/>
    <w:rsid w:val="007D5617"/>
    <w:rsid w:val="007D60FF"/>
    <w:rsid w:val="007D68B7"/>
    <w:rsid w:val="007E1257"/>
    <w:rsid w:val="007E4414"/>
    <w:rsid w:val="007F0835"/>
    <w:rsid w:val="007F278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0A62"/>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2DD1"/>
    <w:rsid w:val="009E53EE"/>
    <w:rsid w:val="009E58E4"/>
    <w:rsid w:val="009F2447"/>
    <w:rsid w:val="009F3358"/>
    <w:rsid w:val="009F3A72"/>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21EB"/>
    <w:rsid w:val="00B25A83"/>
    <w:rsid w:val="00B26225"/>
    <w:rsid w:val="00B32E5A"/>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AB3"/>
    <w:rsid w:val="00BA7B2C"/>
    <w:rsid w:val="00BA7C59"/>
    <w:rsid w:val="00BB52D1"/>
    <w:rsid w:val="00BB573D"/>
    <w:rsid w:val="00BB7F54"/>
    <w:rsid w:val="00BC01B8"/>
    <w:rsid w:val="00BC1938"/>
    <w:rsid w:val="00BC2F10"/>
    <w:rsid w:val="00BC610A"/>
    <w:rsid w:val="00BD0804"/>
    <w:rsid w:val="00BD1196"/>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6229"/>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C6E76"/>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584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33ED"/>
    <w:rsid w:val="00FA6D95"/>
    <w:rsid w:val="00FA7DD2"/>
    <w:rsid w:val="00FB693A"/>
    <w:rsid w:val="00FB6956"/>
    <w:rsid w:val="00FB7024"/>
    <w:rsid w:val="00FB72A5"/>
    <w:rsid w:val="00FC30F3"/>
    <w:rsid w:val="00FD29C8"/>
    <w:rsid w:val="00FD467E"/>
    <w:rsid w:val="00FD78AF"/>
    <w:rsid w:val="00FE13DF"/>
    <w:rsid w:val="00FE51DD"/>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46202</c:v>
                </c:pt>
                <c:pt idx="1">
                  <c:v>46201</c:v>
                </c:pt>
                <c:pt idx="2">
                  <c:v>46200</c:v>
                </c:pt>
                <c:pt idx="3">
                  <c:v>46199</c:v>
                </c:pt>
                <c:pt idx="4">
                  <c:v>46198</c:v>
                </c:pt>
                <c:pt idx="5">
                  <c:v>46197</c:v>
                </c:pt>
                <c:pt idx="6">
                  <c:v>46196</c:v>
                </c:pt>
              </c:numCache>
            </c:numRef>
          </c:cat>
          <c:val>
            <c:numRef>
              <c:f>'价差 IFIND'!$D$4:$D$10</c:f>
              <c:numCache>
                <c:formatCode>#,##0.0000_ </c:formatCode>
                <c:ptCount val="7"/>
                <c:pt idx="0">
                  <c:v>-6.9582617711194672E-4</c:v>
                </c:pt>
                <c:pt idx="1">
                  <c:v>-3.2477815479206029E-3</c:v>
                </c:pt>
                <c:pt idx="2">
                  <c:v>-2.2175471348209186E-3</c:v>
                </c:pt>
                <c:pt idx="3">
                  <c:v>7.7484736439004109E-4</c:v>
                </c:pt>
                <c:pt idx="4">
                  <c:v>-2.6581200543915884E-3</c:v>
                </c:pt>
                <c:pt idx="5">
                  <c:v>-1.5060613921414223E-2</c:v>
                </c:pt>
                <c:pt idx="6">
                  <c:v>-1.1445889463024272E-2</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46202</c:v>
                </c:pt>
                <c:pt idx="1">
                  <c:v>46201</c:v>
                </c:pt>
                <c:pt idx="2">
                  <c:v>46200</c:v>
                </c:pt>
                <c:pt idx="3">
                  <c:v>46199</c:v>
                </c:pt>
                <c:pt idx="4">
                  <c:v>46198</c:v>
                </c:pt>
                <c:pt idx="5">
                  <c:v>46197</c:v>
                </c:pt>
                <c:pt idx="6">
                  <c:v>46196</c:v>
                </c:pt>
              </c:numCache>
            </c:numRef>
          </c:cat>
          <c:val>
            <c:numRef>
              <c:f>'价差 IFIND'!$B$4:$B$10</c:f>
              <c:numCache>
                <c:formatCode>#,##0.0000_ </c:formatCode>
                <c:ptCount val="7"/>
                <c:pt idx="0">
                  <c:v>6.7982981247758394</c:v>
                </c:pt>
                <c:pt idx="1">
                  <c:v>6.7996529468367983</c:v>
                </c:pt>
                <c:pt idx="2">
                  <c:v>6.8006844440843679</c:v>
                </c:pt>
                <c:pt idx="3">
                  <c:v>6.802416643803463</c:v>
                </c:pt>
                <c:pt idx="4">
                  <c:v>6.7962871045517979</c:v>
                </c:pt>
                <c:pt idx="5">
                  <c:v>6.8012727174113277</c:v>
                </c:pt>
                <c:pt idx="6">
                  <c:v>6.7860302163878101</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46202</c:v>
                </c:pt>
                <c:pt idx="1">
                  <c:v>46201</c:v>
                </c:pt>
                <c:pt idx="2">
                  <c:v>46200</c:v>
                </c:pt>
                <c:pt idx="3">
                  <c:v>46199</c:v>
                </c:pt>
                <c:pt idx="4">
                  <c:v>46198</c:v>
                </c:pt>
                <c:pt idx="5">
                  <c:v>46197</c:v>
                </c:pt>
                <c:pt idx="6">
                  <c:v>46196</c:v>
                </c:pt>
              </c:numCache>
            </c:numRef>
          </c:cat>
          <c:val>
            <c:numRef>
              <c:f>'价差 IFIND'!$C$4:$C$10</c:f>
              <c:numCache>
                <c:formatCode>#,##0.0000_ </c:formatCode>
                <c:ptCount val="7"/>
                <c:pt idx="0">
                  <c:v>6.7989939509529513</c:v>
                </c:pt>
                <c:pt idx="1">
                  <c:v>6.8029007283847189</c:v>
                </c:pt>
                <c:pt idx="2">
                  <c:v>6.8029019912191888</c:v>
                </c:pt>
                <c:pt idx="3">
                  <c:v>6.801641796439073</c:v>
                </c:pt>
                <c:pt idx="4">
                  <c:v>6.7989452246061894</c:v>
                </c:pt>
                <c:pt idx="5">
                  <c:v>6.8163333313327419</c:v>
                </c:pt>
                <c:pt idx="6">
                  <c:v>6.7974761058508344</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D69B-21CC-4204-94F2-791A8721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2024-12-24T02:37:00Z</cp:lastPrinted>
  <dcterms:created xsi:type="dcterms:W3CDTF">2026-06-23T01:17:00Z</dcterms:created>
  <dcterms:modified xsi:type="dcterms:W3CDTF">2026-06-30T01:16:00Z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