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F1DA6D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F3A7A">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900347">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13298251" w:rsidR="007B3E0B" w:rsidRDefault="00900347"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900347">
        <w:rPr>
          <w:rFonts w:ascii="微软雅黑" w:eastAsia="微软雅黑" w:hAnsi="微软雅黑" w:cs="微软雅黑"/>
          <w:spacing w:val="12"/>
          <w:lang w:eastAsia="zh-CN"/>
        </w:rPr>
        <w:t>美国三大股指小幅收跌，道指跌0.03%报52305.24点，</w:t>
      </w:r>
      <w:proofErr w:type="gramStart"/>
      <w:r w:rsidRPr="00900347">
        <w:rPr>
          <w:rFonts w:ascii="微软雅黑" w:eastAsia="微软雅黑" w:hAnsi="微软雅黑" w:cs="微软雅黑"/>
          <w:spacing w:val="12"/>
          <w:lang w:eastAsia="zh-CN"/>
        </w:rPr>
        <w:t>标普</w:t>
      </w:r>
      <w:proofErr w:type="gramEnd"/>
      <w:r w:rsidRPr="00900347">
        <w:rPr>
          <w:rFonts w:ascii="微软雅黑" w:eastAsia="微软雅黑" w:hAnsi="微软雅黑" w:cs="微软雅黑"/>
          <w:spacing w:val="12"/>
          <w:lang w:eastAsia="zh-CN"/>
        </w:rPr>
        <w:t>500指数跌0.22%报7483.23点，</w:t>
      </w:r>
      <w:proofErr w:type="gramStart"/>
      <w:r w:rsidRPr="00900347">
        <w:rPr>
          <w:rFonts w:ascii="微软雅黑" w:eastAsia="微软雅黑" w:hAnsi="微软雅黑" w:cs="微软雅黑"/>
          <w:spacing w:val="12"/>
          <w:lang w:eastAsia="zh-CN"/>
        </w:rPr>
        <w:t>纳指跌</w:t>
      </w:r>
      <w:proofErr w:type="gramEnd"/>
      <w:r w:rsidRPr="00900347">
        <w:rPr>
          <w:rFonts w:ascii="微软雅黑" w:eastAsia="微软雅黑" w:hAnsi="微软雅黑" w:cs="微软雅黑"/>
          <w:spacing w:val="12"/>
          <w:lang w:eastAsia="zh-CN"/>
        </w:rPr>
        <w:t>0.66%报26040.03点。美元指数涨0.23%报101.41，非美货币多数下跌，欧元兑美元跌0.38%报1.1378，英镑兑美元涨0.11%报1.3276，澳元兑美元跌0.38%报0.6894，美元兑日元涨0.01%报162.6000，美元兑加元涨0.13%报1.4216，美元兑</w:t>
      </w:r>
      <w:proofErr w:type="gramStart"/>
      <w:r w:rsidRPr="00900347">
        <w:rPr>
          <w:rFonts w:ascii="微软雅黑" w:eastAsia="微软雅黑" w:hAnsi="微软雅黑" w:cs="微软雅黑"/>
          <w:spacing w:val="12"/>
          <w:lang w:eastAsia="zh-CN"/>
        </w:rPr>
        <w:t>瑞郎涨</w:t>
      </w:r>
      <w:proofErr w:type="gramEnd"/>
      <w:r w:rsidRPr="00900347">
        <w:rPr>
          <w:rFonts w:ascii="微软雅黑" w:eastAsia="微软雅黑" w:hAnsi="微软雅黑" w:cs="微软雅黑"/>
          <w:spacing w:val="12"/>
          <w:lang w:eastAsia="zh-CN"/>
        </w:rPr>
        <w:t>0.14%报0.8095，离岸人民币对美元跌34个基点报6.7947。国际贵金属期货收盘涨跌不一，COMEX黄金期货涨0.15%报4044.60美元/盎司，COMEX白银期货跌0.53%报59.60美元/盎司。</w:t>
      </w:r>
      <w:r w:rsidRPr="00900347">
        <w:rPr>
          <w:rFonts w:ascii="微软雅黑" w:eastAsia="微软雅黑" w:hAnsi="微软雅黑" w:cs="微软雅黑" w:hint="eastAsia"/>
          <w:spacing w:val="12"/>
          <w:lang w:eastAsia="zh-CN"/>
        </w:rPr>
        <w:t>I</w:t>
      </w:r>
      <w:r w:rsidR="007B3E0B" w:rsidRPr="00900347">
        <w:rPr>
          <w:rFonts w:ascii="微软雅黑" w:eastAsia="微软雅黑" w:hAnsi="微软雅黑" w:cs="微软雅黑"/>
          <w:spacing w:val="12"/>
          <w:lang w:eastAsia="zh-CN"/>
        </w:rPr>
        <w:t>CE</w:t>
      </w:r>
      <w:r w:rsidR="007B3E0B" w:rsidRPr="00900347">
        <w:rPr>
          <w:rFonts w:ascii="微软雅黑" w:eastAsia="微软雅黑" w:hAnsi="微软雅黑" w:cs="微软雅黑" w:hint="eastAsia"/>
          <w:spacing w:val="12"/>
          <w:lang w:eastAsia="zh-CN"/>
        </w:rPr>
        <w:t>原糖主力合约</w:t>
      </w:r>
      <w:r w:rsidR="0024341E" w:rsidRPr="00900347">
        <w:rPr>
          <w:rFonts w:ascii="微软雅黑" w:eastAsia="微软雅黑" w:hAnsi="微软雅黑" w:cs="微软雅黑" w:hint="eastAsia"/>
          <w:spacing w:val="12"/>
          <w:lang w:eastAsia="zh-CN"/>
        </w:rPr>
        <w:t>涨</w:t>
      </w:r>
      <w:r w:rsidR="00CB3D26" w:rsidRPr="00900347">
        <w:rPr>
          <w:rFonts w:ascii="微软雅黑" w:eastAsia="微软雅黑" w:hAnsi="微软雅黑" w:cs="微软雅黑" w:hint="eastAsia"/>
          <w:spacing w:val="12"/>
          <w:lang w:eastAsia="zh-CN"/>
        </w:rPr>
        <w:t>0.</w:t>
      </w:r>
      <w:r w:rsidRPr="00900347">
        <w:rPr>
          <w:rFonts w:ascii="微软雅黑" w:eastAsia="微软雅黑" w:hAnsi="微软雅黑" w:cs="微软雅黑" w:hint="eastAsia"/>
          <w:spacing w:val="12"/>
          <w:lang w:eastAsia="zh-CN"/>
        </w:rPr>
        <w:t>94</w:t>
      </w:r>
      <w:r w:rsidR="007B3E0B" w:rsidRPr="00900347">
        <w:rPr>
          <w:rFonts w:ascii="微软雅黑" w:eastAsia="微软雅黑" w:hAnsi="微软雅黑" w:cs="微软雅黑"/>
          <w:spacing w:val="12"/>
          <w:lang w:eastAsia="zh-CN"/>
        </w:rPr>
        <w:t>%</w:t>
      </w:r>
      <w:r w:rsidR="007B3E0B" w:rsidRPr="00900347">
        <w:rPr>
          <w:rFonts w:ascii="微软雅黑" w:eastAsia="微软雅黑" w:hAnsi="微软雅黑" w:cs="微软雅黑" w:hint="eastAsia"/>
          <w:spacing w:val="12"/>
          <w:lang w:eastAsia="zh-CN"/>
        </w:rPr>
        <w:t>报</w:t>
      </w:r>
      <w:r w:rsidR="008D5F7A" w:rsidRPr="00900347">
        <w:rPr>
          <w:rFonts w:ascii="微软雅黑" w:eastAsia="微软雅黑" w:hAnsi="微软雅黑" w:cs="微软雅黑" w:hint="eastAsia"/>
          <w:spacing w:val="12"/>
          <w:lang w:eastAsia="zh-CN"/>
        </w:rPr>
        <w:t>1</w:t>
      </w:r>
      <w:r w:rsidR="0024341E" w:rsidRPr="00900347">
        <w:rPr>
          <w:rFonts w:ascii="微软雅黑" w:eastAsia="微软雅黑" w:hAnsi="微软雅黑" w:cs="微软雅黑" w:hint="eastAsia"/>
          <w:spacing w:val="12"/>
          <w:lang w:eastAsia="zh-CN"/>
        </w:rPr>
        <w:t>4</w:t>
      </w:r>
      <w:r w:rsidR="00C44907" w:rsidRPr="00900347">
        <w:rPr>
          <w:rFonts w:ascii="微软雅黑" w:eastAsia="微软雅黑" w:hAnsi="微软雅黑" w:cs="微软雅黑" w:hint="eastAsia"/>
          <w:spacing w:val="12"/>
          <w:lang w:eastAsia="zh-CN"/>
        </w:rPr>
        <w:t>.</w:t>
      </w:r>
      <w:r w:rsidRPr="00900347">
        <w:rPr>
          <w:rFonts w:ascii="微软雅黑" w:eastAsia="微软雅黑" w:hAnsi="微软雅黑" w:cs="微软雅黑" w:hint="eastAsia"/>
          <w:spacing w:val="12"/>
          <w:lang w:eastAsia="zh-CN"/>
        </w:rPr>
        <w:t>96</w:t>
      </w:r>
      <w:r w:rsidR="007B3E0B" w:rsidRPr="00900347">
        <w:rPr>
          <w:rFonts w:ascii="微软雅黑" w:eastAsia="微软雅黑" w:hAnsi="微软雅黑" w:cs="微软雅黑" w:hint="eastAsia"/>
          <w:spacing w:val="12"/>
          <w:lang w:eastAsia="zh-CN"/>
        </w:rPr>
        <w:t>美分</w:t>
      </w:r>
      <w:r w:rsidR="007B3E0B" w:rsidRPr="00900347">
        <w:rPr>
          <w:rFonts w:ascii="微软雅黑" w:eastAsia="微软雅黑" w:hAnsi="微软雅黑" w:cs="微软雅黑"/>
          <w:spacing w:val="12"/>
          <w:lang w:eastAsia="zh-CN"/>
        </w:rPr>
        <w:t>/</w:t>
      </w:r>
      <w:r w:rsidR="007B3E0B" w:rsidRPr="00900347">
        <w:rPr>
          <w:rFonts w:ascii="微软雅黑" w:eastAsia="微软雅黑" w:hAnsi="微软雅黑" w:cs="微软雅黑" w:hint="eastAsia"/>
          <w:spacing w:val="12"/>
          <w:lang w:eastAsia="zh-CN"/>
        </w:rPr>
        <w:t>磅，</w:t>
      </w:r>
      <w:r w:rsidR="007B3E0B" w:rsidRPr="00900347">
        <w:rPr>
          <w:rFonts w:ascii="微软雅黑" w:eastAsia="微软雅黑" w:hAnsi="微软雅黑" w:cs="微软雅黑"/>
          <w:spacing w:val="12"/>
          <w:lang w:eastAsia="zh-CN"/>
        </w:rPr>
        <w:t>ICE</w:t>
      </w:r>
      <w:r w:rsidR="007B3E0B" w:rsidRPr="00900347">
        <w:rPr>
          <w:rFonts w:ascii="微软雅黑" w:eastAsia="微软雅黑" w:hAnsi="微软雅黑" w:cs="微软雅黑" w:hint="eastAsia"/>
          <w:spacing w:val="12"/>
          <w:lang w:eastAsia="zh-CN"/>
        </w:rPr>
        <w:t>棉花主力合约</w:t>
      </w:r>
      <w:r w:rsidR="00CB3D26" w:rsidRPr="00900347">
        <w:rPr>
          <w:rFonts w:ascii="微软雅黑" w:eastAsia="微软雅黑" w:hAnsi="微软雅黑" w:cs="微软雅黑" w:hint="eastAsia"/>
          <w:spacing w:val="12"/>
          <w:lang w:eastAsia="zh-CN"/>
        </w:rPr>
        <w:t>涨</w:t>
      </w:r>
      <w:r w:rsidRPr="00900347">
        <w:rPr>
          <w:rFonts w:ascii="微软雅黑" w:eastAsia="微软雅黑" w:hAnsi="微软雅黑" w:cs="微软雅黑" w:hint="eastAsia"/>
          <w:spacing w:val="12"/>
          <w:lang w:eastAsia="zh-CN"/>
        </w:rPr>
        <w:t>1.43</w:t>
      </w:r>
      <w:r w:rsidR="007B3E0B" w:rsidRPr="00900347">
        <w:rPr>
          <w:rFonts w:ascii="微软雅黑" w:eastAsia="微软雅黑" w:hAnsi="微软雅黑" w:cs="微软雅黑"/>
          <w:spacing w:val="12"/>
          <w:lang w:eastAsia="zh-CN"/>
        </w:rPr>
        <w:t>%</w:t>
      </w:r>
      <w:r w:rsidR="007B3E0B" w:rsidRPr="00900347">
        <w:rPr>
          <w:rFonts w:ascii="微软雅黑" w:eastAsia="微软雅黑" w:hAnsi="微软雅黑" w:cs="微软雅黑" w:hint="eastAsia"/>
          <w:spacing w:val="12"/>
          <w:lang w:eastAsia="zh-CN"/>
        </w:rPr>
        <w:t>报</w:t>
      </w:r>
      <w:r w:rsidR="00CB3D26" w:rsidRPr="00900347">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7.90</w:t>
      </w:r>
      <w:r w:rsidR="00E43653" w:rsidRPr="00CB3D26">
        <w:rPr>
          <w:rFonts w:ascii="微软雅黑" w:eastAsia="微软雅黑" w:hAnsi="微软雅黑" w:cs="微软雅黑" w:hint="eastAsia"/>
          <w:spacing w:val="12"/>
          <w:lang w:eastAsia="zh-CN"/>
        </w:rPr>
        <w:t>/</w:t>
      </w:r>
      <w:r w:rsidR="007B3E0B" w:rsidRPr="00CB3D26">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15ED5A3" w:rsidR="00557736" w:rsidRPr="0022448B" w:rsidRDefault="00900347"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48DB9E9" wp14:editId="6BB117DC">
            <wp:extent cx="6326766" cy="4173855"/>
            <wp:effectExtent l="0" t="0" r="0" b="0"/>
            <wp:docPr id="3818592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5239" cy="417944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F839681" w14:textId="2CEB2576" w:rsidR="00D9111F" w:rsidRPr="00900347" w:rsidRDefault="00D9111F" w:rsidP="00D9111F">
      <w:pPr>
        <w:spacing w:before="102" w:line="257" w:lineRule="auto"/>
        <w:ind w:right="210" w:firstLine="436"/>
        <w:jc w:val="both"/>
        <w:rPr>
          <w:rFonts w:ascii="微软雅黑" w:eastAsia="微软雅黑" w:hAnsi="微软雅黑" w:cs="微软雅黑"/>
          <w:color w:val="auto"/>
          <w:spacing w:val="4"/>
          <w:lang w:eastAsia="zh-CN"/>
        </w:rPr>
      </w:pPr>
      <w:r w:rsidRPr="00A4242D">
        <w:rPr>
          <w:rFonts w:ascii="微软雅黑" w:eastAsia="微软雅黑" w:hAnsi="微软雅黑" w:cs="微软雅黑" w:hint="eastAsia"/>
          <w:color w:val="auto"/>
          <w:spacing w:val="4"/>
          <w:lang w:eastAsia="zh-CN"/>
        </w:rPr>
        <w:t>【</w:t>
      </w:r>
      <w:r w:rsidR="00900347" w:rsidRPr="00900347">
        <w:rPr>
          <w:rFonts w:ascii="微软雅黑" w:eastAsia="微软雅黑" w:hAnsi="微软雅黑" w:cs="微软雅黑"/>
          <w:b/>
          <w:bCs/>
          <w:color w:val="auto"/>
          <w:spacing w:val="4"/>
          <w:lang w:eastAsia="zh-CN"/>
        </w:rPr>
        <w:t>美</w:t>
      </w:r>
      <w:r w:rsidR="00900347" w:rsidRPr="00900347">
        <w:rPr>
          <w:rFonts w:ascii="微软雅黑" w:eastAsia="微软雅黑" w:hAnsi="微软雅黑" w:cs="微软雅黑"/>
          <w:color w:val="auto"/>
          <w:spacing w:val="4"/>
          <w:lang w:eastAsia="zh-CN"/>
        </w:rPr>
        <w:t>国和伊朗在卡塔尔多哈进行间接技术性会谈，卡塔尔和巴基斯坦担任调解方。此次会谈重点围绕落实美伊谅解备忘录，讨论内容包括伊朗冻结资金返还以及确保霍尔木兹海峡海上安全等议题。伊朗称美国违反谅解备忘录承诺，将建立监督机制审查违规行为。美国副总统万斯表示，美伊间接会谈进展顺利，核问题相关讨论将很快开始。卡塔尔外交大臣穆罕默德表示，各方已同意在未来一段时间继续推进讨论，并在前伊朗最高领袖葬礼仪式结束后，尽早安排下一轮会谈。</w:t>
      </w:r>
      <w:r w:rsidRPr="00900347">
        <w:rPr>
          <w:rFonts w:ascii="微软雅黑" w:eastAsia="微软雅黑" w:hAnsi="微软雅黑" w:cs="微软雅黑" w:hint="eastAsia"/>
          <w:color w:val="auto"/>
          <w:spacing w:val="4"/>
          <w:lang w:eastAsia="zh-CN"/>
        </w:rPr>
        <w:t>】</w:t>
      </w:r>
    </w:p>
    <w:p w14:paraId="34EB28CB" w14:textId="6B8EC6CD" w:rsidR="00900347" w:rsidRPr="00900347" w:rsidRDefault="00900347"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900347">
        <w:rPr>
          <w:rFonts w:ascii="微软雅黑" w:eastAsia="微软雅黑" w:hAnsi="微软雅黑" w:cs="微软雅黑" w:hint="eastAsia"/>
          <w:color w:val="auto"/>
          <w:spacing w:val="4"/>
          <w:lang w:eastAsia="zh-CN"/>
        </w:rPr>
        <w:lastRenderedPageBreak/>
        <w:t>【</w:t>
      </w:r>
      <w:r w:rsidRPr="00900347">
        <w:rPr>
          <w:rFonts w:ascii="微软雅黑" w:eastAsia="微软雅黑" w:hAnsi="微软雅黑" w:cs="微软雅黑"/>
          <w:color w:val="auto"/>
          <w:spacing w:val="4"/>
          <w:lang w:eastAsia="zh-CN"/>
        </w:rPr>
        <w:t>美联储主席沃什在欧洲央行中央银行论坛上重申，不会对未来利率政策给出前瞻性指引。沃什表示，通胀风险已降低，但通胀水平仍然过高。美联储将“开辟一条新的政策路径”，希望7月会议时大家能够展开充分讨论。他还强调，美联储将保持政策独立性，并将继续推动缩减资产负债表。沃什还认为，AI正在重塑经济，但AI是否具有通胀效应仍待观察。</w:t>
      </w:r>
      <w:r w:rsidRPr="00900347">
        <w:rPr>
          <w:rFonts w:ascii="微软雅黑" w:eastAsia="微软雅黑" w:hAnsi="微软雅黑" w:cs="微软雅黑" w:hint="eastAsia"/>
          <w:color w:val="auto"/>
          <w:spacing w:val="4"/>
          <w:lang w:eastAsia="zh-CN"/>
        </w:rPr>
        <w:t>】</w:t>
      </w:r>
    </w:p>
    <w:p w14:paraId="36CFDA55" w14:textId="2C04068B" w:rsidR="008D27C1" w:rsidRPr="00900347" w:rsidRDefault="008D27C1" w:rsidP="008D27C1">
      <w:pPr>
        <w:spacing w:before="102" w:line="257" w:lineRule="auto"/>
        <w:ind w:right="210" w:firstLine="436"/>
        <w:jc w:val="both"/>
        <w:rPr>
          <w:rFonts w:ascii="微软雅黑" w:eastAsia="微软雅黑" w:hAnsi="微软雅黑" w:cs="微软雅黑" w:hint="eastAsia"/>
          <w:color w:val="auto"/>
          <w:spacing w:val="4"/>
          <w:lang w:eastAsia="zh-CN"/>
        </w:rPr>
      </w:pPr>
      <w:r w:rsidRPr="00900347">
        <w:rPr>
          <w:rFonts w:ascii="微软雅黑" w:eastAsia="微软雅黑" w:hAnsi="微软雅黑" w:cs="微软雅黑" w:hint="eastAsia"/>
          <w:color w:val="auto"/>
          <w:spacing w:val="4"/>
          <w:lang w:eastAsia="zh-CN"/>
        </w:rPr>
        <w:t>【</w:t>
      </w:r>
      <w:r w:rsidR="00900347" w:rsidRPr="00900347">
        <w:rPr>
          <w:rFonts w:ascii="微软雅黑" w:eastAsia="微软雅黑" w:hAnsi="微软雅黑" w:cs="微软雅黑"/>
          <w:color w:val="auto"/>
          <w:spacing w:val="4"/>
          <w:lang w:eastAsia="zh-CN"/>
        </w:rPr>
        <w:t>美国贸易代表杰米森·格里尔表示，美国决定不续签与加拿大和墨西哥的贸易协定，而是选择对该协定进行年度审查。美墨加协定于2020年7月1日正式生效，2036年到期。</w:t>
      </w:r>
      <w:r w:rsidRPr="00900347">
        <w:rPr>
          <w:rFonts w:ascii="微软雅黑" w:eastAsia="微软雅黑" w:hAnsi="微软雅黑" w:cs="微软雅黑" w:hint="eastAsia"/>
          <w:color w:val="auto"/>
          <w:spacing w:val="4"/>
          <w:lang w:eastAsia="zh-CN"/>
        </w:rPr>
        <w:t>】</w:t>
      </w:r>
    </w:p>
    <w:p w14:paraId="7535C52D" w14:textId="68A53BC1" w:rsidR="00B539F7" w:rsidRPr="00900347" w:rsidRDefault="00B539F7"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900347">
        <w:rPr>
          <w:rFonts w:ascii="微软雅黑" w:eastAsia="微软雅黑" w:hAnsi="微软雅黑" w:cs="微软雅黑" w:hint="eastAsia"/>
          <w:color w:val="auto"/>
          <w:spacing w:val="4"/>
          <w:sz w:val="22"/>
          <w:szCs w:val="22"/>
          <w:lang w:eastAsia="zh-CN"/>
        </w:rPr>
        <w:t>【</w:t>
      </w:r>
      <w:r w:rsidR="00CB3D26" w:rsidRPr="00900347">
        <w:rPr>
          <w:rFonts w:ascii="微软雅黑" w:eastAsia="微软雅黑" w:hAnsi="微软雅黑" w:cs="微软雅黑"/>
          <w:color w:val="auto"/>
          <w:spacing w:val="4"/>
          <w:lang w:eastAsia="zh-CN"/>
        </w:rPr>
        <w:t>美国谘商会数据显示，美国6月消费者信心指数为91.2，较5月下修后的90.6小幅上升0.6点，主要得益于油价回落缓解通胀担忧。不过，消费者对当前劳动力市场的看法明显转弱。</w:t>
      </w:r>
      <w:r w:rsidR="00D9111F" w:rsidRPr="00900347">
        <w:rPr>
          <w:rFonts w:ascii="微软雅黑" w:eastAsia="微软雅黑" w:hAnsi="微软雅黑" w:cs="微软雅黑" w:hint="eastAsia"/>
          <w:color w:val="auto"/>
          <w:spacing w:val="4"/>
          <w:lang w:eastAsia="zh-CN"/>
        </w:rPr>
        <w:t>】</w:t>
      </w:r>
    </w:p>
    <w:p w14:paraId="1D6AFB07" w14:textId="1284DBD7" w:rsidR="000E09D5" w:rsidRPr="00900347" w:rsidRDefault="000E09D5"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900347">
        <w:rPr>
          <w:rFonts w:ascii="微软雅黑" w:eastAsia="微软雅黑" w:hAnsi="微软雅黑" w:cs="微软雅黑" w:hint="eastAsia"/>
          <w:color w:val="auto"/>
          <w:spacing w:val="4"/>
          <w:lang w:eastAsia="zh-CN"/>
        </w:rPr>
        <w:t>【</w:t>
      </w:r>
      <w:r w:rsidR="00900347" w:rsidRPr="00900347">
        <w:rPr>
          <w:rFonts w:ascii="微软雅黑" w:eastAsia="微软雅黑" w:hAnsi="微软雅黑" w:cs="微软雅黑"/>
          <w:color w:val="auto"/>
          <w:spacing w:val="4"/>
          <w:lang w:eastAsia="zh-CN"/>
        </w:rPr>
        <w:t>美国供应管理协会（ISM）数据显示，6月制造业PMI较前月下降0.7点至53.3，低于预期的53.9，但仍接近四年来高位。油价下跌带动价格支付指数大幅下降9.1点至73，为2022年7月以来最大单月降幅。</w:t>
      </w:r>
      <w:r w:rsidRPr="00900347">
        <w:rPr>
          <w:rFonts w:ascii="微软雅黑" w:eastAsia="微软雅黑" w:hAnsi="微软雅黑" w:cs="微软雅黑" w:hint="eastAsia"/>
          <w:color w:val="auto"/>
          <w:spacing w:val="4"/>
          <w:lang w:eastAsia="zh-CN"/>
        </w:rPr>
        <w:t>】</w:t>
      </w:r>
    </w:p>
    <w:p w14:paraId="598AC9CB" w14:textId="5783F0C4" w:rsidR="00CB3D26" w:rsidRPr="00900347" w:rsidRDefault="00CB3D26"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900347">
        <w:rPr>
          <w:rFonts w:ascii="微软雅黑" w:eastAsia="微软雅黑" w:hAnsi="微软雅黑" w:cs="微软雅黑" w:hint="eastAsia"/>
          <w:color w:val="auto"/>
          <w:spacing w:val="4"/>
          <w:lang w:eastAsia="zh-CN"/>
        </w:rPr>
        <w:t>【</w:t>
      </w:r>
      <w:r w:rsidR="00900347" w:rsidRPr="00900347">
        <w:rPr>
          <w:rFonts w:ascii="微软雅黑" w:eastAsia="微软雅黑" w:hAnsi="微软雅黑" w:cs="微软雅黑"/>
          <w:color w:val="auto"/>
          <w:spacing w:val="4"/>
          <w:lang w:eastAsia="zh-CN"/>
        </w:rPr>
        <w:t>ADP发布数据显示，美国6月私营部门就业人数增加9.8万人，低于经济学家预期的11.9万人，为3月以来最低增幅，但仍连续第12个月增加。</w:t>
      </w:r>
      <w:r w:rsidRPr="00900347">
        <w:rPr>
          <w:rFonts w:ascii="微软雅黑" w:eastAsia="微软雅黑" w:hAnsi="微软雅黑" w:cs="微软雅黑" w:hint="eastAsia"/>
          <w:color w:val="auto"/>
          <w:spacing w:val="4"/>
          <w:lang w:eastAsia="zh-CN"/>
        </w:rPr>
        <w:t>】</w:t>
      </w:r>
    </w:p>
    <w:p w14:paraId="388BC3B4" w14:textId="3818CDCF" w:rsidR="0052583F" w:rsidRPr="00900347" w:rsidRDefault="0052583F" w:rsidP="0052583F">
      <w:pPr>
        <w:spacing w:before="102" w:line="257" w:lineRule="auto"/>
        <w:ind w:right="210" w:firstLine="436"/>
        <w:jc w:val="both"/>
        <w:rPr>
          <w:rFonts w:ascii="微软雅黑" w:eastAsia="微软雅黑" w:hAnsi="微软雅黑" w:cs="微软雅黑"/>
          <w:color w:val="auto"/>
          <w:spacing w:val="4"/>
          <w:lang w:eastAsia="zh-CN"/>
        </w:rPr>
      </w:pPr>
      <w:r w:rsidRPr="00900347">
        <w:rPr>
          <w:rFonts w:ascii="微软雅黑" w:eastAsia="微软雅黑" w:hAnsi="微软雅黑" w:cs="微软雅黑" w:hint="eastAsia"/>
          <w:color w:val="auto"/>
          <w:spacing w:val="4"/>
          <w:lang w:eastAsia="zh-CN"/>
        </w:rPr>
        <w:t>【</w:t>
      </w:r>
      <w:r w:rsidR="00900347" w:rsidRPr="00900347">
        <w:rPr>
          <w:rFonts w:ascii="微软雅黑" w:eastAsia="微软雅黑" w:hAnsi="微软雅黑" w:cs="微软雅黑"/>
          <w:color w:val="auto"/>
          <w:spacing w:val="4"/>
          <w:lang w:eastAsia="zh-CN"/>
        </w:rPr>
        <w:t>欧元区6月CPI同比涨幅由前值3.2%回落至2.8%，且低于市场预期的3%，备受关注的服务业通胀则降至3.2%。不过，欧洲央行官员仍保持谨慎，认为通胀并未完全得到控制，支持再次加息或者暂停行动进行观察。</w:t>
      </w:r>
      <w:r w:rsidRPr="00900347">
        <w:rPr>
          <w:rFonts w:ascii="微软雅黑" w:eastAsia="微软雅黑" w:hAnsi="微软雅黑" w:cs="微软雅黑" w:hint="eastAsia"/>
          <w:color w:val="auto"/>
          <w:spacing w:val="4"/>
          <w:lang w:eastAsia="zh-CN"/>
        </w:rPr>
        <w:t>】</w:t>
      </w:r>
    </w:p>
    <w:p w14:paraId="70F972F5" w14:textId="16CD3675" w:rsidR="00900347" w:rsidRPr="0024341E" w:rsidRDefault="00900347"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900347">
        <w:rPr>
          <w:rFonts w:ascii="微软雅黑" w:eastAsia="微软雅黑" w:hAnsi="微软雅黑" w:cs="微软雅黑" w:hint="eastAsia"/>
          <w:color w:val="auto"/>
          <w:spacing w:val="4"/>
          <w:lang w:eastAsia="zh-CN"/>
        </w:rPr>
        <w:t>【</w:t>
      </w:r>
      <w:r w:rsidRPr="00900347">
        <w:rPr>
          <w:rFonts w:ascii="微软雅黑" w:eastAsia="微软雅黑" w:hAnsi="微软雅黑" w:cs="微软雅黑"/>
          <w:color w:val="auto"/>
          <w:spacing w:val="4"/>
          <w:lang w:eastAsia="zh-CN"/>
        </w:rPr>
        <w:t>联合国一个独立专家组警告称，人工智能(AI)的发展速度已经超过科学界的认知能力和政府政策的跟进速度，这意味着无法保证该技术不会造成灾难性危害。联合国秘书长古特雷斯呼吁各国尽快采取行动加强人工智能治理。</w:t>
      </w:r>
      <w:r>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900347" w:rsidRPr="00491C4D" w14:paraId="5B8E297F" w14:textId="77777777" w:rsidTr="009119B8">
        <w:trPr>
          <w:trHeight w:val="652"/>
        </w:trPr>
        <w:tc>
          <w:tcPr>
            <w:tcW w:w="1701" w:type="dxa"/>
          </w:tcPr>
          <w:bookmarkEnd w:id="0"/>
          <w:p w14:paraId="4567D2AE" w14:textId="5A07A58A" w:rsidR="00900347" w:rsidRPr="00900347" w:rsidRDefault="00900347" w:rsidP="00900347">
            <w:pPr>
              <w:spacing w:before="230" w:line="191" w:lineRule="auto"/>
              <w:ind w:right="210"/>
              <w:jc w:val="center"/>
              <w:rPr>
                <w:rFonts w:ascii="微软雅黑" w:eastAsia="微软雅黑" w:hAnsi="微软雅黑" w:cs="微软雅黑" w:hint="eastAsia"/>
                <w:b/>
                <w:bCs/>
                <w:spacing w:val="3"/>
                <w:sz w:val="19"/>
                <w:szCs w:val="19"/>
                <w:lang w:eastAsia="zh-CN"/>
              </w:rPr>
            </w:pPr>
            <w:r w:rsidRPr="00900347">
              <w:rPr>
                <w:b/>
                <w:bCs/>
              </w:rPr>
              <w:t>2026/7/2</w:t>
            </w:r>
          </w:p>
        </w:tc>
        <w:tc>
          <w:tcPr>
            <w:tcW w:w="1314" w:type="dxa"/>
          </w:tcPr>
          <w:p w14:paraId="3B0A4895" w14:textId="5221D862" w:rsidR="00900347" w:rsidRPr="00900347" w:rsidRDefault="00900347" w:rsidP="00900347">
            <w:pPr>
              <w:spacing w:before="230" w:line="191" w:lineRule="auto"/>
              <w:ind w:right="210"/>
              <w:jc w:val="center"/>
              <w:rPr>
                <w:rFonts w:ascii="微软雅黑" w:eastAsia="微软雅黑" w:hAnsi="微软雅黑" w:cs="微软雅黑" w:hint="eastAsia"/>
                <w:b/>
                <w:bCs/>
                <w:spacing w:val="3"/>
                <w:sz w:val="19"/>
                <w:szCs w:val="19"/>
                <w:lang w:eastAsia="zh-CN"/>
              </w:rPr>
            </w:pPr>
            <w:r w:rsidRPr="00900347">
              <w:rPr>
                <w:rFonts w:ascii="微软雅黑" w:eastAsia="微软雅黑" w:hAnsi="微软雅黑" w:cs="微软雅黑"/>
                <w:b/>
                <w:bCs/>
                <w:spacing w:val="3"/>
                <w:sz w:val="19"/>
                <w:szCs w:val="19"/>
                <w:lang w:eastAsia="zh-CN"/>
              </w:rPr>
              <w:t>17:00</w:t>
            </w:r>
          </w:p>
        </w:tc>
        <w:tc>
          <w:tcPr>
            <w:tcW w:w="6344" w:type="dxa"/>
          </w:tcPr>
          <w:p w14:paraId="148F6123" w14:textId="374E7443" w:rsidR="00900347" w:rsidRPr="00900347" w:rsidRDefault="00900347" w:rsidP="00900347">
            <w:pPr>
              <w:spacing w:before="230" w:line="191" w:lineRule="auto"/>
              <w:ind w:right="210"/>
              <w:jc w:val="center"/>
              <w:rPr>
                <w:rFonts w:ascii="微软雅黑" w:eastAsia="微软雅黑" w:hAnsi="微软雅黑" w:cs="微软雅黑" w:hint="eastAsia"/>
                <w:b/>
                <w:bCs/>
                <w:spacing w:val="3"/>
                <w:sz w:val="19"/>
                <w:szCs w:val="19"/>
                <w:lang w:eastAsia="zh-CN"/>
              </w:rPr>
            </w:pPr>
            <w:r w:rsidRPr="00900347">
              <w:rPr>
                <w:rFonts w:ascii="微软雅黑" w:eastAsia="微软雅黑" w:hAnsi="微软雅黑" w:cs="微软雅黑"/>
                <w:b/>
                <w:bCs/>
                <w:spacing w:val="3"/>
                <w:sz w:val="19"/>
                <w:szCs w:val="19"/>
                <w:lang w:eastAsia="zh-CN"/>
              </w:rPr>
              <w:t>欧元区 5 月失业率</w:t>
            </w:r>
          </w:p>
        </w:tc>
      </w:tr>
      <w:tr w:rsidR="00900347" w:rsidRPr="00491C4D" w14:paraId="11459514" w14:textId="77777777" w:rsidTr="00257AE9">
        <w:trPr>
          <w:trHeight w:val="620"/>
        </w:trPr>
        <w:tc>
          <w:tcPr>
            <w:tcW w:w="1701" w:type="dxa"/>
            <w:shd w:val="clear" w:color="auto" w:fill="DAE3F4" w:themeFill="accent1" w:themeFillTint="33"/>
          </w:tcPr>
          <w:p w14:paraId="336E77A1" w14:textId="63FBCEEF" w:rsidR="00900347" w:rsidRPr="00900347" w:rsidRDefault="00900347" w:rsidP="00900347">
            <w:pPr>
              <w:spacing w:before="230" w:line="191" w:lineRule="auto"/>
              <w:ind w:right="210"/>
              <w:jc w:val="center"/>
              <w:rPr>
                <w:rFonts w:ascii="微软雅黑" w:eastAsia="微软雅黑" w:hAnsi="微软雅黑" w:cs="微软雅黑" w:hint="eastAsia"/>
                <w:b/>
                <w:bCs/>
                <w:spacing w:val="3"/>
                <w:sz w:val="19"/>
                <w:szCs w:val="19"/>
                <w:lang w:eastAsia="zh-CN"/>
              </w:rPr>
            </w:pPr>
            <w:r w:rsidRPr="00900347">
              <w:rPr>
                <w:b/>
                <w:bCs/>
              </w:rPr>
              <w:t>2026/7/2</w:t>
            </w:r>
          </w:p>
        </w:tc>
        <w:tc>
          <w:tcPr>
            <w:tcW w:w="1314" w:type="dxa"/>
            <w:shd w:val="clear" w:color="auto" w:fill="DAE3F4" w:themeFill="accent1" w:themeFillTint="33"/>
          </w:tcPr>
          <w:p w14:paraId="2FF031BB" w14:textId="0ACE98A8" w:rsidR="00900347" w:rsidRPr="00900347" w:rsidRDefault="00900347" w:rsidP="00900347">
            <w:pPr>
              <w:spacing w:before="230" w:line="191" w:lineRule="auto"/>
              <w:ind w:right="210"/>
              <w:jc w:val="center"/>
              <w:rPr>
                <w:rFonts w:ascii="微软雅黑" w:eastAsia="微软雅黑" w:hAnsi="微软雅黑" w:cs="微软雅黑" w:hint="eastAsia"/>
                <w:b/>
                <w:bCs/>
                <w:spacing w:val="3"/>
                <w:sz w:val="19"/>
                <w:szCs w:val="19"/>
                <w:lang w:eastAsia="zh-CN"/>
              </w:rPr>
            </w:pPr>
            <w:r w:rsidRPr="00900347">
              <w:rPr>
                <w:b/>
                <w:bCs/>
              </w:rPr>
              <w:t>20:30</w:t>
            </w:r>
          </w:p>
        </w:tc>
        <w:tc>
          <w:tcPr>
            <w:tcW w:w="6344" w:type="dxa"/>
            <w:shd w:val="clear" w:color="auto" w:fill="DAE3F4" w:themeFill="accent1" w:themeFillTint="33"/>
          </w:tcPr>
          <w:p w14:paraId="2CB0AF66" w14:textId="4638B88C" w:rsidR="00900347" w:rsidRPr="00900347" w:rsidRDefault="00900347" w:rsidP="00900347">
            <w:pPr>
              <w:spacing w:before="230" w:line="191" w:lineRule="auto"/>
              <w:ind w:right="210"/>
              <w:jc w:val="center"/>
              <w:rPr>
                <w:rFonts w:ascii="微软雅黑" w:eastAsia="微软雅黑" w:hAnsi="微软雅黑" w:cs="微软雅黑" w:hint="eastAsia"/>
                <w:b/>
                <w:bCs/>
                <w:spacing w:val="3"/>
                <w:sz w:val="19"/>
                <w:szCs w:val="19"/>
                <w:lang w:eastAsia="zh-CN"/>
              </w:rPr>
            </w:pPr>
            <w:r w:rsidRPr="00900347">
              <w:rPr>
                <w:rFonts w:ascii="微软雅黑" w:eastAsia="微软雅黑" w:hAnsi="微软雅黑" w:cs="微软雅黑"/>
                <w:b/>
                <w:bCs/>
                <w:spacing w:val="3"/>
                <w:sz w:val="19"/>
                <w:szCs w:val="19"/>
                <w:lang w:eastAsia="zh-CN"/>
              </w:rPr>
              <w:t>美国 6 月季调后非农就业人口 &amp; 失业率</w:t>
            </w:r>
          </w:p>
        </w:tc>
      </w:tr>
      <w:tr w:rsidR="00900347" w:rsidRPr="00491C4D" w14:paraId="026840DA" w14:textId="77777777" w:rsidTr="00E43653">
        <w:trPr>
          <w:trHeight w:val="620"/>
        </w:trPr>
        <w:tc>
          <w:tcPr>
            <w:tcW w:w="1701" w:type="dxa"/>
          </w:tcPr>
          <w:p w14:paraId="62457B81" w14:textId="4F7BC430" w:rsidR="00900347" w:rsidRPr="00900347" w:rsidRDefault="00900347" w:rsidP="00900347">
            <w:pPr>
              <w:spacing w:before="230" w:line="191" w:lineRule="auto"/>
              <w:ind w:right="210"/>
              <w:jc w:val="center"/>
              <w:rPr>
                <w:rFonts w:ascii="微软雅黑" w:eastAsia="微软雅黑" w:hAnsi="微软雅黑" w:cs="微软雅黑" w:hint="eastAsia"/>
                <w:b/>
                <w:bCs/>
                <w:spacing w:val="3"/>
                <w:sz w:val="19"/>
                <w:szCs w:val="19"/>
                <w:lang w:eastAsia="zh-CN"/>
              </w:rPr>
            </w:pPr>
            <w:r w:rsidRPr="00900347">
              <w:rPr>
                <w:b/>
                <w:bCs/>
              </w:rPr>
              <w:t>2026/7/2</w:t>
            </w:r>
          </w:p>
        </w:tc>
        <w:tc>
          <w:tcPr>
            <w:tcW w:w="1314" w:type="dxa"/>
          </w:tcPr>
          <w:p w14:paraId="1E9FE62C" w14:textId="7FC9D954" w:rsidR="00900347" w:rsidRPr="00900347" w:rsidRDefault="00900347" w:rsidP="00900347">
            <w:pPr>
              <w:spacing w:before="230" w:line="191" w:lineRule="auto"/>
              <w:ind w:right="210"/>
              <w:jc w:val="center"/>
              <w:rPr>
                <w:rFonts w:ascii="微软雅黑" w:eastAsia="微软雅黑" w:hAnsi="微软雅黑" w:cs="微软雅黑" w:hint="eastAsia"/>
                <w:b/>
                <w:bCs/>
                <w:spacing w:val="3"/>
                <w:sz w:val="19"/>
                <w:szCs w:val="19"/>
                <w:lang w:eastAsia="zh-CN"/>
              </w:rPr>
            </w:pPr>
            <w:r w:rsidRPr="00900347">
              <w:rPr>
                <w:b/>
                <w:bCs/>
              </w:rPr>
              <w:t>20:30</w:t>
            </w:r>
          </w:p>
        </w:tc>
        <w:tc>
          <w:tcPr>
            <w:tcW w:w="6344" w:type="dxa"/>
          </w:tcPr>
          <w:p w14:paraId="774DE572" w14:textId="61266420" w:rsidR="00900347" w:rsidRPr="00900347" w:rsidRDefault="00900347" w:rsidP="00900347">
            <w:pPr>
              <w:spacing w:before="230" w:line="191" w:lineRule="auto"/>
              <w:ind w:right="210"/>
              <w:jc w:val="center"/>
              <w:rPr>
                <w:rFonts w:ascii="微软雅黑" w:eastAsia="微软雅黑" w:hAnsi="微软雅黑" w:cs="微软雅黑" w:hint="eastAsia"/>
                <w:b/>
                <w:bCs/>
                <w:spacing w:val="3"/>
                <w:sz w:val="19"/>
                <w:szCs w:val="19"/>
                <w:lang w:eastAsia="zh-CN"/>
              </w:rPr>
            </w:pPr>
            <w:r w:rsidRPr="00900347">
              <w:rPr>
                <w:rFonts w:ascii="微软雅黑" w:eastAsia="微软雅黑" w:hAnsi="微软雅黑" w:cs="微软雅黑"/>
                <w:b/>
                <w:bCs/>
                <w:spacing w:val="3"/>
                <w:sz w:val="19"/>
                <w:szCs w:val="19"/>
                <w:lang w:eastAsia="zh-CN"/>
              </w:rPr>
              <w:t>美国至 6 月 27 日当周初请失业</w:t>
            </w:r>
            <w:proofErr w:type="gramStart"/>
            <w:r w:rsidRPr="00900347">
              <w:rPr>
                <w:rFonts w:ascii="微软雅黑" w:eastAsia="微软雅黑" w:hAnsi="微软雅黑" w:cs="微软雅黑"/>
                <w:b/>
                <w:bCs/>
                <w:spacing w:val="3"/>
                <w:sz w:val="19"/>
                <w:szCs w:val="19"/>
                <w:lang w:eastAsia="zh-CN"/>
              </w:rPr>
              <w:t>金人数</w:t>
            </w:r>
            <w:proofErr w:type="gramEnd"/>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E5CE381" w14:textId="77777777" w:rsidR="00900347" w:rsidRPr="00900347" w:rsidRDefault="00900347" w:rsidP="00900347">
      <w:pPr>
        <w:spacing w:before="103" w:line="256" w:lineRule="auto"/>
        <w:ind w:right="210" w:firstLineChars="200" w:firstLine="448"/>
        <w:rPr>
          <w:rFonts w:ascii="微软雅黑" w:eastAsia="微软雅黑" w:hAnsi="微软雅黑" w:cs="微软雅黑"/>
          <w:spacing w:val="7"/>
          <w:lang w:eastAsia="zh-CN"/>
        </w:rPr>
      </w:pPr>
      <w:r w:rsidRPr="00900347">
        <w:rPr>
          <w:rFonts w:ascii="微软雅黑" w:eastAsia="微软雅黑" w:hAnsi="微软雅黑" w:cs="微软雅黑" w:hint="eastAsia"/>
          <w:spacing w:val="7"/>
          <w:lang w:eastAsia="zh-CN"/>
        </w:rPr>
        <w:t>隔夜，美元指数涨</w:t>
      </w:r>
      <w:r w:rsidRPr="00900347">
        <w:rPr>
          <w:rFonts w:ascii="微软雅黑" w:eastAsia="微软雅黑" w:hAnsi="微软雅黑" w:cs="微软雅黑"/>
          <w:spacing w:val="7"/>
          <w:lang w:eastAsia="zh-CN"/>
        </w:rPr>
        <w:t>0.23%</w:t>
      </w:r>
      <w:r w:rsidRPr="00900347">
        <w:rPr>
          <w:rFonts w:ascii="微软雅黑" w:eastAsia="微软雅黑" w:hAnsi="微软雅黑" w:cs="微软雅黑" w:hint="eastAsia"/>
          <w:spacing w:val="7"/>
          <w:lang w:eastAsia="zh-CN"/>
        </w:rPr>
        <w:t>报</w:t>
      </w:r>
      <w:r w:rsidRPr="00900347">
        <w:rPr>
          <w:rFonts w:ascii="微软雅黑" w:eastAsia="微软雅黑" w:hAnsi="微软雅黑" w:cs="微软雅黑"/>
          <w:spacing w:val="7"/>
          <w:lang w:eastAsia="zh-CN"/>
        </w:rPr>
        <w:t>101.41</w:t>
      </w:r>
      <w:r w:rsidRPr="00900347">
        <w:rPr>
          <w:rFonts w:ascii="微软雅黑" w:eastAsia="微软雅黑" w:hAnsi="微软雅黑" w:cs="微软雅黑" w:hint="eastAsia"/>
          <w:spacing w:val="7"/>
          <w:lang w:eastAsia="zh-CN"/>
        </w:rPr>
        <w:t>，非美货币多数下跌，欧元兑美元跌</w:t>
      </w:r>
      <w:r w:rsidRPr="00900347">
        <w:rPr>
          <w:rFonts w:ascii="微软雅黑" w:eastAsia="微软雅黑" w:hAnsi="微软雅黑" w:cs="微软雅黑"/>
          <w:spacing w:val="7"/>
          <w:lang w:eastAsia="zh-CN"/>
        </w:rPr>
        <w:t>0.38%</w:t>
      </w:r>
      <w:r w:rsidRPr="00900347">
        <w:rPr>
          <w:rFonts w:ascii="微软雅黑" w:eastAsia="微软雅黑" w:hAnsi="微软雅黑" w:cs="微软雅黑" w:hint="eastAsia"/>
          <w:spacing w:val="7"/>
          <w:lang w:eastAsia="zh-CN"/>
        </w:rPr>
        <w:t>报</w:t>
      </w:r>
      <w:r w:rsidRPr="00900347">
        <w:rPr>
          <w:rFonts w:ascii="微软雅黑" w:eastAsia="微软雅黑" w:hAnsi="微软雅黑" w:cs="微软雅黑"/>
          <w:spacing w:val="7"/>
          <w:lang w:eastAsia="zh-CN"/>
        </w:rPr>
        <w:t>1.1378</w:t>
      </w:r>
      <w:r w:rsidRPr="00900347">
        <w:rPr>
          <w:rFonts w:ascii="微软雅黑" w:eastAsia="微软雅黑" w:hAnsi="微软雅黑" w:cs="微软雅黑" w:hint="eastAsia"/>
          <w:spacing w:val="7"/>
          <w:lang w:eastAsia="zh-CN"/>
        </w:rPr>
        <w:t>，英镑兑美元涨</w:t>
      </w:r>
      <w:r w:rsidRPr="00900347">
        <w:rPr>
          <w:rFonts w:ascii="微软雅黑" w:eastAsia="微软雅黑" w:hAnsi="微软雅黑" w:cs="微软雅黑"/>
          <w:spacing w:val="7"/>
          <w:lang w:eastAsia="zh-CN"/>
        </w:rPr>
        <w:t>0.11%</w:t>
      </w:r>
      <w:r w:rsidRPr="00900347">
        <w:rPr>
          <w:rFonts w:ascii="微软雅黑" w:eastAsia="微软雅黑" w:hAnsi="微软雅黑" w:cs="微软雅黑" w:hint="eastAsia"/>
          <w:spacing w:val="7"/>
          <w:lang w:eastAsia="zh-CN"/>
        </w:rPr>
        <w:t>报</w:t>
      </w:r>
      <w:r w:rsidRPr="00900347">
        <w:rPr>
          <w:rFonts w:ascii="微软雅黑" w:eastAsia="微软雅黑" w:hAnsi="微软雅黑" w:cs="微软雅黑"/>
          <w:spacing w:val="7"/>
          <w:lang w:eastAsia="zh-CN"/>
        </w:rPr>
        <w:t>1.3276</w:t>
      </w:r>
      <w:r w:rsidRPr="00900347">
        <w:rPr>
          <w:rFonts w:ascii="微软雅黑" w:eastAsia="微软雅黑" w:hAnsi="微软雅黑" w:cs="微软雅黑" w:hint="eastAsia"/>
          <w:spacing w:val="7"/>
          <w:lang w:eastAsia="zh-CN"/>
        </w:rPr>
        <w:t>，美元兑日元涨</w:t>
      </w:r>
      <w:r w:rsidRPr="00900347">
        <w:rPr>
          <w:rFonts w:ascii="微软雅黑" w:eastAsia="微软雅黑" w:hAnsi="微软雅黑" w:cs="微软雅黑"/>
          <w:spacing w:val="7"/>
          <w:lang w:eastAsia="zh-CN"/>
        </w:rPr>
        <w:t>0.01%</w:t>
      </w:r>
      <w:r w:rsidRPr="00900347">
        <w:rPr>
          <w:rFonts w:ascii="微软雅黑" w:eastAsia="微软雅黑" w:hAnsi="微软雅黑" w:cs="微软雅黑" w:hint="eastAsia"/>
          <w:spacing w:val="7"/>
          <w:lang w:eastAsia="zh-CN"/>
        </w:rPr>
        <w:t>报</w:t>
      </w:r>
      <w:r w:rsidRPr="00900347">
        <w:rPr>
          <w:rFonts w:ascii="微软雅黑" w:eastAsia="微软雅黑" w:hAnsi="微软雅黑" w:cs="微软雅黑"/>
          <w:spacing w:val="7"/>
          <w:lang w:eastAsia="zh-CN"/>
        </w:rPr>
        <w:t>162.6000</w:t>
      </w:r>
      <w:r w:rsidRPr="00900347">
        <w:rPr>
          <w:rFonts w:ascii="微软雅黑" w:eastAsia="微软雅黑" w:hAnsi="微软雅黑" w:cs="微软雅黑" w:hint="eastAsia"/>
          <w:spacing w:val="7"/>
          <w:lang w:eastAsia="zh-CN"/>
        </w:rPr>
        <w:t>。</w:t>
      </w:r>
    </w:p>
    <w:p w14:paraId="6C9091B2" w14:textId="77777777" w:rsidR="00900347" w:rsidRPr="00900347" w:rsidRDefault="00900347" w:rsidP="00900347">
      <w:pPr>
        <w:spacing w:before="103" w:line="256" w:lineRule="auto"/>
        <w:ind w:right="210" w:firstLineChars="200" w:firstLine="448"/>
        <w:rPr>
          <w:rFonts w:ascii="微软雅黑" w:eastAsia="微软雅黑" w:hAnsi="微软雅黑" w:cs="微软雅黑"/>
          <w:spacing w:val="7"/>
          <w:lang w:eastAsia="zh-CN"/>
        </w:rPr>
      </w:pPr>
      <w:r w:rsidRPr="00900347">
        <w:rPr>
          <w:rFonts w:ascii="微软雅黑" w:eastAsia="微软雅黑" w:hAnsi="微软雅黑" w:cs="微软雅黑" w:hint="eastAsia"/>
          <w:spacing w:val="7"/>
          <w:lang w:eastAsia="zh-CN"/>
        </w:rPr>
        <w:t>宏观数据方面，美国</w:t>
      </w:r>
      <w:r w:rsidRPr="00900347">
        <w:rPr>
          <w:rFonts w:ascii="微软雅黑" w:eastAsia="微软雅黑" w:hAnsi="微软雅黑" w:cs="微软雅黑"/>
          <w:spacing w:val="7"/>
          <w:lang w:eastAsia="zh-CN"/>
        </w:rPr>
        <w:t>6</w:t>
      </w:r>
      <w:r w:rsidRPr="00900347">
        <w:rPr>
          <w:rFonts w:ascii="微软雅黑" w:eastAsia="微软雅黑" w:hAnsi="微软雅黑" w:cs="微软雅黑" w:hint="eastAsia"/>
          <w:spacing w:val="7"/>
          <w:lang w:eastAsia="zh-CN"/>
        </w:rPr>
        <w:t>月</w:t>
      </w:r>
      <w:r w:rsidRPr="00900347">
        <w:rPr>
          <w:rFonts w:ascii="微软雅黑" w:eastAsia="微软雅黑" w:hAnsi="微软雅黑" w:cs="微软雅黑"/>
          <w:spacing w:val="7"/>
          <w:lang w:eastAsia="zh-CN"/>
        </w:rPr>
        <w:t>ISM</w:t>
      </w:r>
      <w:r w:rsidRPr="00900347">
        <w:rPr>
          <w:rFonts w:ascii="微软雅黑" w:eastAsia="微软雅黑" w:hAnsi="微软雅黑" w:cs="微软雅黑" w:hint="eastAsia"/>
          <w:spacing w:val="7"/>
          <w:lang w:eastAsia="zh-CN"/>
        </w:rPr>
        <w:t>制造业</w:t>
      </w:r>
      <w:r w:rsidRPr="00900347">
        <w:rPr>
          <w:rFonts w:ascii="微软雅黑" w:eastAsia="微软雅黑" w:hAnsi="微软雅黑" w:cs="微软雅黑"/>
          <w:spacing w:val="7"/>
          <w:lang w:eastAsia="zh-CN"/>
        </w:rPr>
        <w:t>PMI</w:t>
      </w:r>
      <w:r w:rsidRPr="00900347">
        <w:rPr>
          <w:rFonts w:ascii="微软雅黑" w:eastAsia="微软雅黑" w:hAnsi="微软雅黑" w:cs="微软雅黑" w:hint="eastAsia"/>
          <w:spacing w:val="7"/>
          <w:lang w:eastAsia="zh-CN"/>
        </w:rPr>
        <w:t>小幅低于市场预期，但仍显著高于荣枯线水平。受油价回落预期提振，消费者信心指数有所回升；</w:t>
      </w:r>
      <w:r w:rsidRPr="00900347">
        <w:rPr>
          <w:rFonts w:ascii="微软雅黑" w:eastAsia="微软雅黑" w:hAnsi="微软雅黑" w:cs="微软雅黑"/>
          <w:spacing w:val="7"/>
          <w:lang w:eastAsia="zh-CN"/>
        </w:rPr>
        <w:t>ADP</w:t>
      </w:r>
      <w:r w:rsidRPr="00900347">
        <w:rPr>
          <w:rFonts w:ascii="微软雅黑" w:eastAsia="微软雅黑" w:hAnsi="微软雅黑" w:cs="微软雅黑" w:hint="eastAsia"/>
          <w:spacing w:val="7"/>
          <w:lang w:eastAsia="zh-CN"/>
        </w:rPr>
        <w:t>就业新增小幅不达预期但仍录得连续增长，</w:t>
      </w:r>
      <w:r w:rsidRPr="00900347">
        <w:rPr>
          <w:rFonts w:ascii="微软雅黑" w:eastAsia="微软雅黑" w:hAnsi="微软雅黑" w:cs="微软雅黑"/>
          <w:spacing w:val="7"/>
          <w:lang w:eastAsia="zh-CN"/>
        </w:rPr>
        <w:t>5</w:t>
      </w:r>
      <w:r w:rsidRPr="00900347">
        <w:rPr>
          <w:rFonts w:ascii="微软雅黑" w:eastAsia="微软雅黑" w:hAnsi="微软雅黑" w:cs="微软雅黑" w:hint="eastAsia"/>
          <w:spacing w:val="7"/>
          <w:lang w:eastAsia="zh-CN"/>
        </w:rPr>
        <w:t>月职位空缺数</w:t>
      </w:r>
      <w:r w:rsidRPr="00900347">
        <w:rPr>
          <w:rFonts w:ascii="微软雅黑" w:eastAsia="微软雅黑" w:hAnsi="微软雅黑" w:cs="微软雅黑" w:hint="eastAsia"/>
          <w:spacing w:val="7"/>
          <w:lang w:eastAsia="zh-CN"/>
        </w:rPr>
        <w:lastRenderedPageBreak/>
        <w:t>超出市场预期，裁员率维持较低水平，劳动力市场需求维持韧性；通胀方面，</w:t>
      </w:r>
      <w:r w:rsidRPr="00900347">
        <w:rPr>
          <w:rFonts w:ascii="微软雅黑" w:eastAsia="微软雅黑" w:hAnsi="微软雅黑" w:cs="微软雅黑"/>
          <w:spacing w:val="7"/>
          <w:lang w:eastAsia="zh-CN"/>
        </w:rPr>
        <w:t>5</w:t>
      </w:r>
      <w:r w:rsidRPr="00900347">
        <w:rPr>
          <w:rFonts w:ascii="微软雅黑" w:eastAsia="微软雅黑" w:hAnsi="微软雅黑" w:cs="微软雅黑" w:hint="eastAsia"/>
          <w:spacing w:val="7"/>
          <w:lang w:eastAsia="zh-CN"/>
        </w:rPr>
        <w:t>月</w:t>
      </w:r>
      <w:r w:rsidRPr="00900347">
        <w:rPr>
          <w:rFonts w:ascii="微软雅黑" w:eastAsia="微软雅黑" w:hAnsi="微软雅黑" w:cs="微软雅黑"/>
          <w:spacing w:val="7"/>
          <w:lang w:eastAsia="zh-CN"/>
        </w:rPr>
        <w:t>PCE</w:t>
      </w:r>
      <w:r w:rsidRPr="00900347">
        <w:rPr>
          <w:rFonts w:ascii="微软雅黑" w:eastAsia="微软雅黑" w:hAnsi="微软雅黑" w:cs="微软雅黑" w:hint="eastAsia"/>
          <w:spacing w:val="7"/>
          <w:lang w:eastAsia="zh-CN"/>
        </w:rPr>
        <w:t>及核心</w:t>
      </w:r>
      <w:r w:rsidRPr="00900347">
        <w:rPr>
          <w:rFonts w:ascii="微软雅黑" w:eastAsia="微软雅黑" w:hAnsi="微软雅黑" w:cs="微软雅黑"/>
          <w:spacing w:val="7"/>
          <w:lang w:eastAsia="zh-CN"/>
        </w:rPr>
        <w:t>PCE</w:t>
      </w:r>
      <w:proofErr w:type="gramStart"/>
      <w:r w:rsidRPr="00900347">
        <w:rPr>
          <w:rFonts w:ascii="微软雅黑" w:eastAsia="微软雅黑" w:hAnsi="微软雅黑" w:cs="微软雅黑" w:hint="eastAsia"/>
          <w:spacing w:val="7"/>
          <w:lang w:eastAsia="zh-CN"/>
        </w:rPr>
        <w:t>同比仍</w:t>
      </w:r>
      <w:proofErr w:type="gramEnd"/>
      <w:r w:rsidRPr="00900347">
        <w:rPr>
          <w:rFonts w:ascii="微软雅黑" w:eastAsia="微软雅黑" w:hAnsi="微软雅黑" w:cs="微软雅黑" w:hint="eastAsia"/>
          <w:spacing w:val="7"/>
          <w:lang w:eastAsia="zh-CN"/>
        </w:rPr>
        <w:t>处高位，表明能源冲击向核心价格传导尚未完全消退。地缘局势及通胀前景尚未完全明朗的背景下，美联储整体维持鹰派立场，虽油价中枢回落及核心通胀表现平缓，但市场定价</w:t>
      </w:r>
      <w:r w:rsidRPr="00900347">
        <w:rPr>
          <w:rFonts w:ascii="微软雅黑" w:eastAsia="微软雅黑" w:hAnsi="微软雅黑" w:cs="微软雅黑"/>
          <w:spacing w:val="7"/>
          <w:lang w:eastAsia="zh-CN"/>
        </w:rPr>
        <w:t>9</w:t>
      </w:r>
      <w:r w:rsidRPr="00900347">
        <w:rPr>
          <w:rFonts w:ascii="微软雅黑" w:eastAsia="微软雅黑" w:hAnsi="微软雅黑" w:cs="微软雅黑" w:hint="eastAsia"/>
          <w:spacing w:val="7"/>
          <w:lang w:eastAsia="zh-CN"/>
        </w:rPr>
        <w:t>月加息概率仍高于</w:t>
      </w:r>
      <w:r w:rsidRPr="00900347">
        <w:rPr>
          <w:rFonts w:ascii="微软雅黑" w:eastAsia="微软雅黑" w:hAnsi="微软雅黑" w:cs="微软雅黑"/>
          <w:spacing w:val="7"/>
          <w:lang w:eastAsia="zh-CN"/>
        </w:rPr>
        <w:t>60%</w:t>
      </w:r>
      <w:r w:rsidRPr="00900347">
        <w:rPr>
          <w:rFonts w:ascii="微软雅黑" w:eastAsia="微软雅黑" w:hAnsi="微软雅黑" w:cs="微软雅黑" w:hint="eastAsia"/>
          <w:spacing w:val="7"/>
          <w:lang w:eastAsia="zh-CN"/>
        </w:rPr>
        <w:t>。地缘方面，美伊局势仍存在阶段性升温风险，霍尔木兹复航预期有所升温，但核问题及浓缩铀处置等相关议题未有进展，避险需求继续支撑美元，美元指数于</w:t>
      </w:r>
      <w:r w:rsidRPr="00900347">
        <w:rPr>
          <w:rFonts w:ascii="微软雅黑" w:eastAsia="微软雅黑" w:hAnsi="微软雅黑" w:cs="微软雅黑"/>
          <w:spacing w:val="7"/>
          <w:lang w:eastAsia="zh-CN"/>
        </w:rPr>
        <w:t>100</w:t>
      </w:r>
      <w:r w:rsidRPr="00900347">
        <w:rPr>
          <w:rFonts w:ascii="微软雅黑" w:eastAsia="微软雅黑" w:hAnsi="微软雅黑" w:cs="微软雅黑" w:hint="eastAsia"/>
          <w:spacing w:val="7"/>
          <w:lang w:eastAsia="zh-CN"/>
        </w:rPr>
        <w:t>美元关口或仍具较强支撑。</w:t>
      </w:r>
    </w:p>
    <w:p w14:paraId="502379A4" w14:textId="01323E99" w:rsidR="002760F0" w:rsidRPr="002760F0" w:rsidRDefault="00900347" w:rsidP="00900347">
      <w:pPr>
        <w:spacing w:before="103" w:line="256" w:lineRule="auto"/>
        <w:ind w:right="210" w:firstLineChars="200" w:firstLine="448"/>
        <w:rPr>
          <w:rFonts w:ascii="微软雅黑" w:eastAsia="微软雅黑" w:hAnsi="微软雅黑" w:cs="微软雅黑" w:hint="eastAsia"/>
          <w:spacing w:val="7"/>
          <w:lang w:eastAsia="zh-CN"/>
        </w:rPr>
      </w:pPr>
      <w:r w:rsidRPr="00900347">
        <w:rPr>
          <w:rFonts w:ascii="微软雅黑" w:eastAsia="微软雅黑" w:hAnsi="微软雅黑" w:cs="微软雅黑" w:hint="eastAsia"/>
          <w:spacing w:val="7"/>
          <w:lang w:eastAsia="zh-CN"/>
        </w:rPr>
        <w:t>欧元区</w:t>
      </w:r>
      <w:r w:rsidRPr="00900347">
        <w:rPr>
          <w:rFonts w:ascii="微软雅黑" w:eastAsia="微软雅黑" w:hAnsi="微软雅黑" w:cs="微软雅黑"/>
          <w:spacing w:val="7"/>
          <w:lang w:eastAsia="zh-CN"/>
        </w:rPr>
        <w:t>6</w:t>
      </w:r>
      <w:r w:rsidRPr="00900347">
        <w:rPr>
          <w:rFonts w:ascii="微软雅黑" w:eastAsia="微软雅黑" w:hAnsi="微软雅黑" w:cs="微软雅黑" w:hint="eastAsia"/>
          <w:spacing w:val="7"/>
          <w:lang w:eastAsia="zh-CN"/>
        </w:rPr>
        <w:t>月</w:t>
      </w:r>
      <w:r w:rsidRPr="00900347">
        <w:rPr>
          <w:rFonts w:ascii="微软雅黑" w:eastAsia="微软雅黑" w:hAnsi="微软雅黑" w:cs="微软雅黑"/>
          <w:spacing w:val="7"/>
          <w:lang w:eastAsia="zh-CN"/>
        </w:rPr>
        <w:t>CPI</w:t>
      </w:r>
      <w:r w:rsidRPr="00900347">
        <w:rPr>
          <w:rFonts w:ascii="微软雅黑" w:eastAsia="微软雅黑" w:hAnsi="微软雅黑" w:cs="微软雅黑" w:hint="eastAsia"/>
          <w:spacing w:val="7"/>
          <w:lang w:eastAsia="zh-CN"/>
        </w:rPr>
        <w:t>同比由前值</w:t>
      </w:r>
      <w:r w:rsidRPr="00900347">
        <w:rPr>
          <w:rFonts w:ascii="微软雅黑" w:eastAsia="微软雅黑" w:hAnsi="微软雅黑" w:cs="微软雅黑"/>
          <w:spacing w:val="7"/>
          <w:lang w:eastAsia="zh-CN"/>
        </w:rPr>
        <w:t>3.2%</w:t>
      </w:r>
      <w:r w:rsidRPr="00900347">
        <w:rPr>
          <w:rFonts w:ascii="微软雅黑" w:eastAsia="微软雅黑" w:hAnsi="微软雅黑" w:cs="微软雅黑" w:hint="eastAsia"/>
          <w:spacing w:val="7"/>
          <w:lang w:eastAsia="zh-CN"/>
        </w:rPr>
        <w:t>回落至</w:t>
      </w:r>
      <w:r w:rsidRPr="00900347">
        <w:rPr>
          <w:rFonts w:ascii="微软雅黑" w:eastAsia="微软雅黑" w:hAnsi="微软雅黑" w:cs="微软雅黑"/>
          <w:spacing w:val="7"/>
          <w:lang w:eastAsia="zh-CN"/>
        </w:rPr>
        <w:t>2.8%</w:t>
      </w:r>
      <w:r w:rsidRPr="00900347">
        <w:rPr>
          <w:rFonts w:ascii="微软雅黑" w:eastAsia="微软雅黑" w:hAnsi="微软雅黑" w:cs="微软雅黑" w:hint="eastAsia"/>
          <w:spacing w:val="7"/>
          <w:lang w:eastAsia="zh-CN"/>
        </w:rPr>
        <w:t>，低于市场预期；欧元区</w:t>
      </w:r>
      <w:r w:rsidRPr="00900347">
        <w:rPr>
          <w:rFonts w:ascii="微软雅黑" w:eastAsia="微软雅黑" w:hAnsi="微软雅黑" w:cs="微软雅黑"/>
          <w:spacing w:val="7"/>
          <w:lang w:eastAsia="zh-CN"/>
        </w:rPr>
        <w:t>6</w:t>
      </w:r>
      <w:r w:rsidRPr="00900347">
        <w:rPr>
          <w:rFonts w:ascii="微软雅黑" w:eastAsia="微软雅黑" w:hAnsi="微软雅黑" w:cs="微软雅黑" w:hint="eastAsia"/>
          <w:spacing w:val="7"/>
          <w:lang w:eastAsia="zh-CN"/>
        </w:rPr>
        <w:t>月</w:t>
      </w:r>
      <w:r w:rsidRPr="00900347">
        <w:rPr>
          <w:rFonts w:ascii="微软雅黑" w:eastAsia="微软雅黑" w:hAnsi="微软雅黑" w:cs="微软雅黑"/>
          <w:spacing w:val="7"/>
          <w:lang w:eastAsia="zh-CN"/>
        </w:rPr>
        <w:t>PMI</w:t>
      </w:r>
      <w:r w:rsidRPr="00900347">
        <w:rPr>
          <w:rFonts w:ascii="微软雅黑" w:eastAsia="微软雅黑" w:hAnsi="微软雅黑" w:cs="微软雅黑" w:hint="eastAsia"/>
          <w:spacing w:val="7"/>
          <w:lang w:eastAsia="zh-CN"/>
        </w:rPr>
        <w:t>录得回升，经济动能边际修复，但</w:t>
      </w:r>
      <w:proofErr w:type="gramStart"/>
      <w:r w:rsidRPr="00900347">
        <w:rPr>
          <w:rFonts w:ascii="微软雅黑" w:eastAsia="微软雅黑" w:hAnsi="微软雅黑" w:cs="微软雅黑" w:hint="eastAsia"/>
          <w:spacing w:val="7"/>
          <w:lang w:eastAsia="zh-CN"/>
        </w:rPr>
        <w:t>仍处弱复苏</w:t>
      </w:r>
      <w:proofErr w:type="gramEnd"/>
      <w:r w:rsidRPr="00900347">
        <w:rPr>
          <w:rFonts w:ascii="微软雅黑" w:eastAsia="微软雅黑" w:hAnsi="微软雅黑" w:cs="微软雅黑" w:hint="eastAsia"/>
          <w:spacing w:val="7"/>
          <w:lang w:eastAsia="zh-CN"/>
        </w:rPr>
        <w:t>区间。虽然通胀数据录得阶段性回落，但欧央行仍维持鹰派基调，短期或对欧元形成支撑，但在美联储鹰派基调延续、美欧利差</w:t>
      </w:r>
      <w:proofErr w:type="gramStart"/>
      <w:r w:rsidRPr="00900347">
        <w:rPr>
          <w:rFonts w:ascii="微软雅黑" w:eastAsia="微软雅黑" w:hAnsi="微软雅黑" w:cs="微软雅黑" w:hint="eastAsia"/>
          <w:spacing w:val="7"/>
          <w:lang w:eastAsia="zh-CN"/>
        </w:rPr>
        <w:t>持续走阔的</w:t>
      </w:r>
      <w:proofErr w:type="gramEnd"/>
      <w:r w:rsidRPr="00900347">
        <w:rPr>
          <w:rFonts w:ascii="微软雅黑" w:eastAsia="微软雅黑" w:hAnsi="微软雅黑" w:cs="微软雅黑" w:hint="eastAsia"/>
          <w:spacing w:val="7"/>
          <w:lang w:eastAsia="zh-CN"/>
        </w:rPr>
        <w:t>背景下，欧元反弹空间有限。日元表现录得四十年新低，市场警惕日本央行汇率干预风险。美日货币政策分化格局未改，美国经济韧性支撑美联储加息预期，而日本央行仍沿渐进路径正常化，利差劣势叠加套息与避险美元需求，令日元持续承压</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84FFCCF" w:rsidR="007A477E" w:rsidRDefault="00900347"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422DF4">
        <w:rPr>
          <w:rFonts w:ascii="黑体" w:eastAsia="黑体" w:hAnsi="黑体" w:cs="黑体"/>
          <w:noProof/>
          <w:color w:val="000000" w:themeColor="text1"/>
          <w:sz w:val="22"/>
          <w:szCs w:val="22"/>
          <w:shd w:val="clear" w:color="auto" w:fill="FFFFFF"/>
          <w:lang w:bidi="ar"/>
        </w:rPr>
        <w:drawing>
          <wp:inline distT="0" distB="0" distL="0" distR="0" wp14:anchorId="3FA26379" wp14:editId="53CEDD5E">
            <wp:extent cx="4533900" cy="2215515"/>
            <wp:effectExtent l="0" t="0" r="0" b="0"/>
            <wp:docPr id="516393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221551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2CA166B4" w:rsidR="00ED4A18" w:rsidRDefault="00900347" w:rsidP="00B00DB4">
      <w:pPr>
        <w:spacing w:before="103" w:line="256" w:lineRule="auto"/>
        <w:ind w:right="210" w:firstLine="448"/>
        <w:rPr>
          <w:rFonts w:ascii="微软雅黑" w:eastAsia="微软雅黑" w:hAnsi="微软雅黑" w:cs="微软雅黑" w:hint="eastAsia"/>
          <w:spacing w:val="7"/>
          <w:lang w:eastAsia="zh-CN"/>
        </w:rPr>
      </w:pPr>
      <w:r w:rsidRPr="00900347">
        <w:rPr>
          <w:rFonts w:ascii="微软雅黑" w:eastAsia="微软雅黑" w:hAnsi="微软雅黑" w:cs="微软雅黑"/>
          <w:spacing w:val="7"/>
          <w:lang w:eastAsia="zh-CN"/>
        </w:rPr>
        <w:t>截至7月1日，</w:t>
      </w:r>
      <w:proofErr w:type="gramStart"/>
      <w:r w:rsidRPr="00900347">
        <w:rPr>
          <w:rFonts w:ascii="微软雅黑" w:eastAsia="微软雅黑" w:hAnsi="微软雅黑" w:cs="微软雅黑"/>
          <w:spacing w:val="7"/>
          <w:lang w:eastAsia="zh-CN"/>
        </w:rPr>
        <w:t>标普</w:t>
      </w:r>
      <w:proofErr w:type="gramEnd"/>
      <w:r w:rsidRPr="00900347">
        <w:rPr>
          <w:rFonts w:ascii="微软雅黑" w:eastAsia="微软雅黑" w:hAnsi="微软雅黑" w:cs="微软雅黑"/>
          <w:spacing w:val="7"/>
          <w:lang w:eastAsia="zh-CN"/>
        </w:rPr>
        <w:t>500指数下跌0.22%至7483.23；</w:t>
      </w:r>
      <w:proofErr w:type="gramStart"/>
      <w:r w:rsidRPr="00900347">
        <w:rPr>
          <w:rFonts w:ascii="微软雅黑" w:eastAsia="微软雅黑" w:hAnsi="微软雅黑" w:cs="微软雅黑"/>
          <w:spacing w:val="7"/>
          <w:lang w:eastAsia="zh-CN"/>
        </w:rPr>
        <w:t>迷你标普</w:t>
      </w:r>
      <w:proofErr w:type="gramEnd"/>
      <w:r w:rsidRPr="00900347">
        <w:rPr>
          <w:rFonts w:ascii="微软雅黑" w:eastAsia="微软雅黑" w:hAnsi="微软雅黑" w:cs="微软雅黑"/>
          <w:spacing w:val="7"/>
          <w:lang w:eastAsia="zh-CN"/>
        </w:rPr>
        <w:t>500主力合约下跌0.12%至7532.75点。货币政策与经济数据上，当地时间7月1日，美联储主席沃什在欧洲央行于葡萄牙辛特拉举行的年度央行论坛上表示，美联储不会就未来利率路径提供前瞻指引，未来每次会议都要依据最新数据重新讨论。ADP数据显示，美国6月私营部门就业人数增加9.8万人，低于经济学家预期的11.9万人，为3月以来最低增幅，但仍连续第12个月增加。小非农不及预期使得美联储加息预期出现小幅回落。产业层面，彭博社报导，Meta正在规划向外部客户出售过剩的AI</w:t>
      </w:r>
      <w:proofErr w:type="gramStart"/>
      <w:r w:rsidRPr="00900347">
        <w:rPr>
          <w:rFonts w:ascii="微软雅黑" w:eastAsia="微软雅黑" w:hAnsi="微软雅黑" w:cs="微软雅黑"/>
          <w:spacing w:val="7"/>
          <w:lang w:eastAsia="zh-CN"/>
        </w:rPr>
        <w:t>算力与</w:t>
      </w:r>
      <w:proofErr w:type="gramEnd"/>
      <w:r w:rsidRPr="00900347">
        <w:rPr>
          <w:rFonts w:ascii="微软雅黑" w:eastAsia="微软雅黑" w:hAnsi="微软雅黑" w:cs="微软雅黑"/>
          <w:spacing w:val="7"/>
          <w:lang w:eastAsia="zh-CN"/>
        </w:rPr>
        <w:t>模型访问权限的新业务。该消息引发投资者</w:t>
      </w:r>
      <w:proofErr w:type="gramStart"/>
      <w:r w:rsidRPr="00900347">
        <w:rPr>
          <w:rFonts w:ascii="微软雅黑" w:eastAsia="微软雅黑" w:hAnsi="微软雅黑" w:cs="微软雅黑"/>
          <w:spacing w:val="7"/>
          <w:lang w:eastAsia="zh-CN"/>
        </w:rPr>
        <w:t>对算力供应</w:t>
      </w:r>
      <w:proofErr w:type="gramEnd"/>
      <w:r w:rsidRPr="00900347">
        <w:rPr>
          <w:rFonts w:ascii="微软雅黑" w:eastAsia="微软雅黑" w:hAnsi="微软雅黑" w:cs="微软雅黑"/>
          <w:spacing w:val="7"/>
          <w:lang w:eastAsia="zh-CN"/>
        </w:rPr>
        <w:t>过剩的担忧，市场对此反应剧烈，美股芯片、光通信相关个股集体下挫。整体来看，虽然，Meta</w:t>
      </w:r>
      <w:proofErr w:type="gramStart"/>
      <w:r w:rsidRPr="00900347">
        <w:rPr>
          <w:rFonts w:ascii="微软雅黑" w:eastAsia="微软雅黑" w:hAnsi="微软雅黑" w:cs="微软雅黑"/>
          <w:spacing w:val="7"/>
          <w:lang w:eastAsia="zh-CN"/>
        </w:rPr>
        <w:t>出售算力的</w:t>
      </w:r>
      <w:proofErr w:type="gramEnd"/>
      <w:r w:rsidRPr="00900347">
        <w:rPr>
          <w:rFonts w:ascii="微软雅黑" w:eastAsia="微软雅黑" w:hAnsi="微软雅黑" w:cs="微软雅黑"/>
          <w:spacing w:val="7"/>
          <w:lang w:eastAsia="zh-CN"/>
        </w:rPr>
        <w:t>消息对AI行情形成扰动，但其他</w:t>
      </w:r>
      <w:proofErr w:type="gramStart"/>
      <w:r w:rsidRPr="00900347">
        <w:rPr>
          <w:rFonts w:ascii="微软雅黑" w:eastAsia="微软雅黑" w:hAnsi="微软雅黑" w:cs="微软雅黑"/>
          <w:spacing w:val="7"/>
          <w:lang w:eastAsia="zh-CN"/>
        </w:rPr>
        <w:t>云计算</w:t>
      </w:r>
      <w:proofErr w:type="gramEnd"/>
      <w:r w:rsidRPr="00900347">
        <w:rPr>
          <w:rFonts w:ascii="微软雅黑" w:eastAsia="微软雅黑" w:hAnsi="微软雅黑" w:cs="微软雅黑"/>
          <w:spacing w:val="7"/>
          <w:lang w:eastAsia="zh-CN"/>
        </w:rPr>
        <w:t>厂商并未削减投资，因此此举并不意味着AI相关资本支出将放缓，昨日美股的抛售或属于消息引发的短期的获利兑现，行业上行趋势并未被打破。关注今晚非农报告对货币政策的指引</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706583C" w:rsidR="007A477E" w:rsidRPr="00EE7376" w:rsidRDefault="00900347" w:rsidP="006B6996">
      <w:pPr>
        <w:spacing w:before="103" w:line="256" w:lineRule="auto"/>
        <w:ind w:right="210" w:firstLine="420"/>
        <w:jc w:val="center"/>
        <w:rPr>
          <w:rFonts w:ascii="微软雅黑" w:eastAsia="微软雅黑" w:hAnsi="微软雅黑" w:cs="微软雅黑" w:hint="eastAsia"/>
          <w:spacing w:val="7"/>
          <w:lang w:eastAsia="zh-CN"/>
        </w:rPr>
      </w:pPr>
      <w:r w:rsidRPr="008C4381">
        <w:rPr>
          <w:rFonts w:ascii="Helvetica" w:hAnsi="Helvetica" w:cs="Helvetica"/>
          <w:noProof/>
          <w:shd w:val="clear" w:color="auto" w:fill="FFFFFF"/>
        </w:rPr>
        <w:lastRenderedPageBreak/>
        <w:drawing>
          <wp:inline distT="0" distB="0" distL="0" distR="0" wp14:anchorId="4973E97C" wp14:editId="31C8E51E">
            <wp:extent cx="5274310" cy="1606340"/>
            <wp:effectExtent l="0" t="0" r="2540" b="0"/>
            <wp:docPr id="3" name="图片 3" descr="C:\Users\Administrator\xwechat_files\wxid_vkxlzo0vqu7s22_6f5b\temp\InputTemp\8d6af0e3-67f8-4dd7-a1ab-7730edf72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8d6af0e3-67f8-4dd7-a1ab-7730edf729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06340"/>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25A6C791" w:rsidR="00B51D3C" w:rsidRDefault="00900347" w:rsidP="000511AA">
      <w:pPr>
        <w:spacing w:before="103" w:line="256" w:lineRule="auto"/>
        <w:ind w:right="210" w:firstLine="448"/>
        <w:jc w:val="both"/>
        <w:rPr>
          <w:rFonts w:ascii="微软雅黑" w:eastAsia="微软雅黑" w:hAnsi="微软雅黑" w:cs="微软雅黑" w:hint="eastAsia"/>
          <w:spacing w:val="7"/>
          <w:lang w:eastAsia="zh-CN"/>
        </w:rPr>
      </w:pPr>
      <w:r w:rsidRPr="00900347">
        <w:rPr>
          <w:rFonts w:ascii="微软雅黑" w:eastAsia="微软雅黑" w:hAnsi="微软雅黑" w:cs="微软雅黑"/>
          <w:spacing w:val="7"/>
          <w:lang w:eastAsia="zh-CN"/>
        </w:rPr>
        <w:t>截至7月1日，富时中国A50指数下跌1.15%至15520.88；新交所富时A50期指主力合约下跌1.72%至15247。海外方面，昨日彭博社报导，Meta正在规划向外部客户出售过剩的AI</w:t>
      </w:r>
      <w:proofErr w:type="gramStart"/>
      <w:r w:rsidRPr="00900347">
        <w:rPr>
          <w:rFonts w:ascii="微软雅黑" w:eastAsia="微软雅黑" w:hAnsi="微软雅黑" w:cs="微软雅黑"/>
          <w:spacing w:val="7"/>
          <w:lang w:eastAsia="zh-CN"/>
        </w:rPr>
        <w:t>算力与</w:t>
      </w:r>
      <w:proofErr w:type="gramEnd"/>
      <w:r w:rsidRPr="00900347">
        <w:rPr>
          <w:rFonts w:ascii="微软雅黑" w:eastAsia="微软雅黑" w:hAnsi="微软雅黑" w:cs="微软雅黑"/>
          <w:spacing w:val="7"/>
          <w:lang w:eastAsia="zh-CN"/>
        </w:rPr>
        <w:t>模型访问权限的新业务。该消息引发投资者</w:t>
      </w:r>
      <w:proofErr w:type="gramStart"/>
      <w:r w:rsidRPr="00900347">
        <w:rPr>
          <w:rFonts w:ascii="微软雅黑" w:eastAsia="微软雅黑" w:hAnsi="微软雅黑" w:cs="微软雅黑"/>
          <w:spacing w:val="7"/>
          <w:lang w:eastAsia="zh-CN"/>
        </w:rPr>
        <w:t>对算力供应</w:t>
      </w:r>
      <w:proofErr w:type="gramEnd"/>
      <w:r w:rsidRPr="00900347">
        <w:rPr>
          <w:rFonts w:ascii="微软雅黑" w:eastAsia="微软雅黑" w:hAnsi="微软雅黑" w:cs="微软雅黑"/>
          <w:spacing w:val="7"/>
          <w:lang w:eastAsia="zh-CN"/>
        </w:rPr>
        <w:t>过剩的担忧，市场对此反应剧烈，美股芯片、光通信相关个股集体下挫。国内方面，经济基本面，6月份，我国制造业PMI重新回升至扩张区间，非制造业与综合PMI指数同样处于扩张区间，且进一步小幅上升。从细分项看，装备制造业与高技术制造业PMI进一步走强，装备制造业连续4个月处于扩张区间，高技术制造业连续17个月保持扩张。整体来看，国内6月先行指标显示，我国经济景气水平整体回升，同时，新质生产力相关行业依旧引领经济。此外，虽然，Meta</w:t>
      </w:r>
      <w:proofErr w:type="gramStart"/>
      <w:r w:rsidRPr="00900347">
        <w:rPr>
          <w:rFonts w:ascii="微软雅黑" w:eastAsia="微软雅黑" w:hAnsi="微软雅黑" w:cs="微软雅黑"/>
          <w:spacing w:val="7"/>
          <w:lang w:eastAsia="zh-CN"/>
        </w:rPr>
        <w:t>出售算力的</w:t>
      </w:r>
      <w:proofErr w:type="gramEnd"/>
      <w:r w:rsidRPr="00900347">
        <w:rPr>
          <w:rFonts w:ascii="微软雅黑" w:eastAsia="微软雅黑" w:hAnsi="微软雅黑" w:cs="微软雅黑"/>
          <w:spacing w:val="7"/>
          <w:lang w:eastAsia="zh-CN"/>
        </w:rPr>
        <w:t>消息对AI行情形成扰动，但其他</w:t>
      </w:r>
      <w:proofErr w:type="gramStart"/>
      <w:r w:rsidRPr="00900347">
        <w:rPr>
          <w:rFonts w:ascii="微软雅黑" w:eastAsia="微软雅黑" w:hAnsi="微软雅黑" w:cs="微软雅黑"/>
          <w:spacing w:val="7"/>
          <w:lang w:eastAsia="zh-CN"/>
        </w:rPr>
        <w:t>云计算</w:t>
      </w:r>
      <w:proofErr w:type="gramEnd"/>
      <w:r w:rsidRPr="00900347">
        <w:rPr>
          <w:rFonts w:ascii="微软雅黑" w:eastAsia="微软雅黑" w:hAnsi="微软雅黑" w:cs="微软雅黑"/>
          <w:spacing w:val="7"/>
          <w:lang w:eastAsia="zh-CN"/>
        </w:rPr>
        <w:t>厂商并未削减投资，因此此举并不意味着AI相关资本支出将放缓，昨日美股的抛售或属于消息引发的短期的获利兑现，行业上行趋势并未被打破</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13C50619" w:rsidR="00A10388" w:rsidRDefault="00900347" w:rsidP="00A10388">
      <w:pPr>
        <w:spacing w:before="120" w:line="190" w:lineRule="auto"/>
        <w:ind w:right="210" w:firstLine="420"/>
        <w:jc w:val="center"/>
        <w:rPr>
          <w:rFonts w:ascii="新宋体" w:eastAsia="新宋体" w:hAnsi="新宋体" w:hint="eastAsia"/>
          <w:lang w:eastAsia="zh-CN"/>
        </w:rPr>
      </w:pPr>
      <w:r w:rsidRPr="008C4381">
        <w:rPr>
          <w:rFonts w:ascii="宋体" w:eastAsia="宋体" w:hAnsi="宋体"/>
          <w:b/>
          <w:noProof/>
        </w:rPr>
        <w:drawing>
          <wp:inline distT="0" distB="0" distL="0" distR="0" wp14:anchorId="08879BFE" wp14:editId="507EF6A4">
            <wp:extent cx="5274310" cy="1600901"/>
            <wp:effectExtent l="0" t="0" r="2540" b="0"/>
            <wp:docPr id="2115851196" name="图片 2115851196" descr="C:\Users\Administrator\xwechat_files\wxid_vkxlzo0vqu7s22_6f5b\temp\InputTemp\658a1b58-c430-4aba-b5f3-9b76520a9d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658a1b58-c430-4aba-b5f3-9b76520a9d9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00901"/>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1EDC4EF8" w:rsidR="005B5E6A" w:rsidRDefault="00900347" w:rsidP="00F51117">
      <w:pPr>
        <w:spacing w:before="103" w:line="256" w:lineRule="auto"/>
        <w:ind w:right="210" w:firstLine="448"/>
        <w:jc w:val="both"/>
        <w:rPr>
          <w:rFonts w:ascii="微软雅黑" w:eastAsia="微软雅黑" w:hAnsi="微软雅黑" w:cs="微软雅黑" w:hint="eastAsia"/>
          <w:spacing w:val="12"/>
          <w:lang w:eastAsia="zh-CN"/>
        </w:rPr>
      </w:pPr>
      <w:r w:rsidRPr="00900347">
        <w:rPr>
          <w:rFonts w:ascii="微软雅黑" w:eastAsia="微软雅黑" w:hAnsi="微软雅黑" w:cs="微软雅黑"/>
          <w:spacing w:val="12"/>
          <w:lang w:eastAsia="zh-CN"/>
        </w:rPr>
        <w:t>隔夜COMEX铜震荡偏弱，报收6.157元/磅，涨跌幅-1.57%。国际方面，美国供应管理协会（ISM）数据显示，6月制造业PMI较前月下降0.7点至53.3，低于预期的53.9，但仍接近四年来高位。油价下跌带动价格支付指数大幅下降9.1点至73，为2022年7月以来最大单月降幅。国内方面，工信</w:t>
      </w:r>
      <w:proofErr w:type="gramStart"/>
      <w:r w:rsidRPr="00900347">
        <w:rPr>
          <w:rFonts w:ascii="微软雅黑" w:eastAsia="微软雅黑" w:hAnsi="微软雅黑" w:cs="微软雅黑"/>
          <w:spacing w:val="12"/>
          <w:lang w:eastAsia="zh-CN"/>
        </w:rPr>
        <w:t>部数据</w:t>
      </w:r>
      <w:proofErr w:type="gramEnd"/>
      <w:r w:rsidRPr="00900347">
        <w:rPr>
          <w:rFonts w:ascii="微软雅黑" w:eastAsia="微软雅黑" w:hAnsi="微软雅黑" w:cs="微软雅黑"/>
          <w:spacing w:val="12"/>
          <w:lang w:eastAsia="zh-CN"/>
        </w:rPr>
        <w:t>显示，1-5月份，规模以上电子信息制造业增加值同比增长14.6%，增速分别比同期工业、高技术制造业高9.2个和高1.5个百分点。5月份，规模以上电子信息制造业增加值同比增长17%。库存方面，截至2026年7月1日，COMEX铜库存为666821短吨，环比+484短吨；LME铜库存为324850吨，</w:t>
      </w:r>
      <w:r w:rsidRPr="00900347">
        <w:rPr>
          <w:rFonts w:ascii="微软雅黑" w:eastAsia="微软雅黑" w:hAnsi="微软雅黑" w:cs="微软雅黑"/>
          <w:spacing w:val="12"/>
          <w:lang w:eastAsia="zh-CN"/>
        </w:rPr>
        <w:lastRenderedPageBreak/>
        <w:t>环比-4375吨；SHFE每日仓单73569吨，环比-1048吨。美元美债方面，美联储主席沃什表示，近几周通胀预期和通胀风险已有所缓解。美元指数上涨后缩减涨幅，最终收涨0.25%，报101.39；基准的</w:t>
      </w:r>
      <w:proofErr w:type="gramStart"/>
      <w:r w:rsidRPr="00900347">
        <w:rPr>
          <w:rFonts w:ascii="微软雅黑" w:eastAsia="微软雅黑" w:hAnsi="微软雅黑" w:cs="微软雅黑"/>
          <w:spacing w:val="12"/>
          <w:lang w:eastAsia="zh-CN"/>
        </w:rPr>
        <w:t>10年期美债</w:t>
      </w:r>
      <w:proofErr w:type="gramEnd"/>
      <w:r w:rsidRPr="00900347">
        <w:rPr>
          <w:rFonts w:ascii="微软雅黑" w:eastAsia="微软雅黑" w:hAnsi="微软雅黑" w:cs="微软雅黑"/>
          <w:spacing w:val="12"/>
          <w:lang w:eastAsia="zh-CN"/>
        </w:rPr>
        <w:t>收益率收报4.458%，对美联储政策利率敏感的</w:t>
      </w:r>
      <w:proofErr w:type="gramStart"/>
      <w:r w:rsidRPr="00900347">
        <w:rPr>
          <w:rFonts w:ascii="微软雅黑" w:eastAsia="微软雅黑" w:hAnsi="微软雅黑" w:cs="微软雅黑"/>
          <w:spacing w:val="12"/>
          <w:lang w:eastAsia="zh-CN"/>
        </w:rPr>
        <w:t>2年期美债</w:t>
      </w:r>
      <w:proofErr w:type="gramEnd"/>
      <w:r w:rsidRPr="00900347">
        <w:rPr>
          <w:rFonts w:ascii="微软雅黑" w:eastAsia="微软雅黑" w:hAnsi="微软雅黑" w:cs="微软雅黑"/>
          <w:spacing w:val="12"/>
          <w:lang w:eastAsia="zh-CN"/>
        </w:rPr>
        <w:t>收益率收报4.183%。操作建议，</w:t>
      </w:r>
      <w:proofErr w:type="gramStart"/>
      <w:r w:rsidRPr="00900347">
        <w:rPr>
          <w:rFonts w:ascii="微软雅黑" w:eastAsia="微软雅黑" w:hAnsi="微软雅黑" w:cs="微软雅黑"/>
          <w:spacing w:val="12"/>
          <w:lang w:eastAsia="zh-CN"/>
        </w:rPr>
        <w:t>纽</w:t>
      </w:r>
      <w:proofErr w:type="gramEnd"/>
      <w:r w:rsidRPr="00900347">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3A446EDC" w:rsidR="00A02266" w:rsidRDefault="00900347" w:rsidP="006B6996">
      <w:pPr>
        <w:spacing w:before="103" w:line="256" w:lineRule="auto"/>
        <w:ind w:right="210" w:firstLine="420"/>
        <w:jc w:val="center"/>
      </w:pPr>
      <w:r>
        <w:rPr>
          <w:noProof/>
        </w:rPr>
        <w:drawing>
          <wp:inline distT="0" distB="0" distL="0" distR="0" wp14:anchorId="6E5DB134" wp14:editId="1B641C71">
            <wp:extent cx="5274310" cy="2879090"/>
            <wp:effectExtent l="0" t="0" r="2540" b="0"/>
            <wp:docPr id="283723761" name="图片 28372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12E92CB8" w:rsidR="00F850DC" w:rsidRDefault="00900347" w:rsidP="00B00DB4">
      <w:pPr>
        <w:spacing w:before="103" w:line="256" w:lineRule="auto"/>
        <w:ind w:right="210" w:firstLine="468"/>
        <w:jc w:val="both"/>
        <w:rPr>
          <w:rFonts w:ascii="微软雅黑" w:eastAsia="微软雅黑" w:hAnsi="微软雅黑" w:cs="微软雅黑" w:hint="eastAsia"/>
          <w:noProof/>
          <w:spacing w:val="7"/>
          <w:lang w:eastAsia="zh-CN"/>
        </w:rPr>
      </w:pPr>
      <w:r w:rsidRPr="00900347">
        <w:rPr>
          <w:rFonts w:ascii="微软雅黑" w:eastAsia="微软雅黑" w:hAnsi="微软雅黑" w:cs="微软雅黑"/>
          <w:noProof/>
          <w:spacing w:val="7"/>
          <w:lang w:eastAsia="zh-CN"/>
        </w:rPr>
        <w:t>隔夜，贵金属市场延续底部震荡，伦敦金冲高至4100美元关口遇阻回落，COMEX黄金期货涨0.15%报4044.60美元/盎司，COMEX白银期货跌0.53%报59.60美元/盎司。宏观数据方面，美国6月ISM制造业PMI小幅低于市场预期，但仍显著高于荣枯线水平。受油价回落预期提振，消费者信心指数有所回升；ADP就业新增小幅不达预期但仍录得连续增长，5月职位空缺数超出市场预期，裁员率维持较低水平，美国劳动力需求维持韧性。地缘方面，美伊恢复卡塔尔技术性会谈，重点围绕落实谅解备忘录，虽然战争尾部风险及油价运行中枢显著回落，但市场做多情绪难言乐观。短期来看，贵金属上行空间仍受鹰派联储、强美元及实际利率高位运行约束，趋势性反弹仍需等待更明确的宏观催化。一方面，美国经济数据仍具韧性，通胀同比维持近年高位，美联储在通胀压力下较难迅速转向宽松，美元及美债收益率对金银价格的压制短期仍难完全解除，6月非农数据表现在“世界杯效应”推动下或超市场预期，短线鹰派预期仍可能强化；另一方面，美伊谈判虽推动霍尔木兹海峡复航议程，油价中枢有望继续下行，进而缓解通胀反弹担忧，但若核问题及浓缩铀处置谈判迟迟未取得突破，不排除美伊恢复军事打击的可能性。中长期来看，新兴市场央行维持逢低购金节奏，央行购金及全球储备资产再配置逻辑尚未松动，仍为黄金提供底层支撑。整体而言，贵金属短期或维持宽幅震荡格局，操作上建议暂时观望为主</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D2A8F12" w:rsidR="007A477E" w:rsidRDefault="00900347"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422DF4">
        <w:rPr>
          <w:rFonts w:ascii="黑体" w:eastAsia="黑体" w:hAnsi="黑体"/>
          <w:noProof/>
          <w:sz w:val="22"/>
          <w:szCs w:val="22"/>
          <w:shd w:val="clear" w:color="auto" w:fill="FFFFFF"/>
          <w:lang w:bidi="ar"/>
        </w:rPr>
        <w:lastRenderedPageBreak/>
        <w:drawing>
          <wp:inline distT="0" distB="0" distL="0" distR="0" wp14:anchorId="74BF75B6" wp14:editId="7013AE97">
            <wp:extent cx="4248150" cy="2267585"/>
            <wp:effectExtent l="0" t="0" r="0" b="0"/>
            <wp:docPr id="16686545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150" cy="2267585"/>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34BF1B2" w14:textId="77777777" w:rsidR="0065569F" w:rsidRPr="0065569F" w:rsidRDefault="0065569F" w:rsidP="0065569F">
      <w:pPr>
        <w:spacing w:before="103" w:line="256" w:lineRule="auto"/>
        <w:ind w:right="210" w:firstLine="448"/>
        <w:jc w:val="both"/>
        <w:rPr>
          <w:rFonts w:ascii="微软雅黑" w:eastAsia="微软雅黑" w:hAnsi="微软雅黑" w:cs="微软雅黑"/>
          <w:noProof/>
          <w:spacing w:val="7"/>
          <w:lang w:eastAsia="zh-CN"/>
        </w:rPr>
      </w:pPr>
      <w:r w:rsidRPr="0065569F">
        <w:rPr>
          <w:rFonts w:ascii="微软雅黑" w:eastAsia="微软雅黑" w:hAnsi="微软雅黑" w:cs="微软雅黑" w:hint="eastAsia"/>
          <w:noProof/>
          <w:spacing w:val="7"/>
          <w:lang w:eastAsia="zh-CN"/>
        </w:rPr>
        <w:t>洲际交易所</w:t>
      </w:r>
      <w:r w:rsidRPr="0065569F">
        <w:rPr>
          <w:rFonts w:ascii="微软雅黑" w:eastAsia="微软雅黑" w:hAnsi="微软雅黑" w:cs="微软雅黑"/>
          <w:noProof/>
          <w:spacing w:val="7"/>
          <w:lang w:eastAsia="zh-CN"/>
        </w:rPr>
        <w:t>(ICE)</w:t>
      </w:r>
      <w:r w:rsidRPr="0065569F">
        <w:rPr>
          <w:rFonts w:ascii="微软雅黑" w:eastAsia="微软雅黑" w:hAnsi="微软雅黑" w:cs="微软雅黑" w:hint="eastAsia"/>
          <w:noProof/>
          <w:spacing w:val="7"/>
          <w:lang w:eastAsia="zh-CN"/>
        </w:rPr>
        <w:t>原糖期货周三触及六周高点，因高温胁迫欧洲主要产糖区作物以及厄尔尼诺气候可能影响亚洲主要生产国印度和泰国国家糖产量担忧。</w:t>
      </w:r>
      <w:r w:rsidRPr="0065569F">
        <w:rPr>
          <w:rFonts w:ascii="微软雅黑" w:eastAsia="微软雅黑" w:hAnsi="微软雅黑" w:cs="微软雅黑"/>
          <w:noProof/>
          <w:spacing w:val="7"/>
          <w:lang w:eastAsia="zh-CN"/>
        </w:rPr>
        <w:t>ICE</w:t>
      </w:r>
      <w:r w:rsidRPr="0065569F">
        <w:rPr>
          <w:rFonts w:ascii="微软雅黑" w:eastAsia="微软雅黑" w:hAnsi="微软雅黑" w:cs="微软雅黑" w:hint="eastAsia"/>
          <w:noProof/>
          <w:spacing w:val="7"/>
          <w:lang w:eastAsia="zh-CN"/>
        </w:rPr>
        <w:t>交投最活跃的</w:t>
      </w:r>
      <w:r w:rsidRPr="0065569F">
        <w:rPr>
          <w:rFonts w:ascii="微软雅黑" w:eastAsia="微软雅黑" w:hAnsi="微软雅黑" w:cs="微软雅黑"/>
          <w:noProof/>
          <w:spacing w:val="7"/>
          <w:lang w:eastAsia="zh-CN"/>
        </w:rPr>
        <w:t>10</w:t>
      </w:r>
      <w:r w:rsidRPr="0065569F">
        <w:rPr>
          <w:rFonts w:ascii="微软雅黑" w:eastAsia="微软雅黑" w:hAnsi="微软雅黑" w:cs="微软雅黑" w:hint="eastAsia"/>
          <w:noProof/>
          <w:spacing w:val="7"/>
          <w:lang w:eastAsia="zh-CN"/>
        </w:rPr>
        <w:t>月原糖期货收涨</w:t>
      </w:r>
      <w:r w:rsidRPr="0065569F">
        <w:rPr>
          <w:rFonts w:ascii="微软雅黑" w:eastAsia="微软雅黑" w:hAnsi="微软雅黑" w:cs="微软雅黑"/>
          <w:noProof/>
          <w:spacing w:val="7"/>
          <w:lang w:eastAsia="zh-CN"/>
        </w:rPr>
        <w:t>0.17</w:t>
      </w:r>
      <w:r w:rsidRPr="0065569F">
        <w:rPr>
          <w:rFonts w:ascii="微软雅黑" w:eastAsia="微软雅黑" w:hAnsi="微软雅黑" w:cs="微软雅黑" w:hint="eastAsia"/>
          <w:noProof/>
          <w:spacing w:val="7"/>
          <w:lang w:eastAsia="zh-CN"/>
        </w:rPr>
        <w:t>美分或</w:t>
      </w:r>
      <w:r w:rsidRPr="0065569F">
        <w:rPr>
          <w:rFonts w:ascii="微软雅黑" w:eastAsia="微软雅黑" w:hAnsi="微软雅黑" w:cs="微软雅黑"/>
          <w:noProof/>
          <w:spacing w:val="7"/>
          <w:lang w:eastAsia="zh-CN"/>
        </w:rPr>
        <w:t>1.15%</w:t>
      </w:r>
      <w:r w:rsidRPr="0065569F">
        <w:rPr>
          <w:rFonts w:ascii="微软雅黑" w:eastAsia="微软雅黑" w:hAnsi="微软雅黑" w:cs="微软雅黑" w:hint="eastAsia"/>
          <w:noProof/>
          <w:spacing w:val="7"/>
          <w:lang w:eastAsia="zh-CN"/>
        </w:rPr>
        <w:t>，结算价报每磅</w:t>
      </w:r>
      <w:r w:rsidRPr="0065569F">
        <w:rPr>
          <w:rFonts w:ascii="微软雅黑" w:eastAsia="微软雅黑" w:hAnsi="微软雅黑" w:cs="微软雅黑"/>
          <w:noProof/>
          <w:spacing w:val="7"/>
          <w:lang w:eastAsia="zh-CN"/>
        </w:rPr>
        <w:t>14.99</w:t>
      </w:r>
      <w:r w:rsidRPr="0065569F">
        <w:rPr>
          <w:rFonts w:ascii="微软雅黑" w:eastAsia="微软雅黑" w:hAnsi="微软雅黑" w:cs="微软雅黑" w:hint="eastAsia"/>
          <w:noProof/>
          <w:spacing w:val="7"/>
          <w:lang w:eastAsia="zh-CN"/>
        </w:rPr>
        <w:t>美分，盘中触及</w:t>
      </w:r>
      <w:r w:rsidRPr="0065569F">
        <w:rPr>
          <w:rFonts w:ascii="微软雅黑" w:eastAsia="微软雅黑" w:hAnsi="微软雅黑" w:cs="微软雅黑"/>
          <w:noProof/>
          <w:spacing w:val="7"/>
          <w:lang w:eastAsia="zh-CN"/>
        </w:rPr>
        <w:t>5</w:t>
      </w:r>
      <w:r w:rsidRPr="0065569F">
        <w:rPr>
          <w:rFonts w:ascii="微软雅黑" w:eastAsia="微软雅黑" w:hAnsi="微软雅黑" w:cs="微软雅黑" w:hint="eastAsia"/>
          <w:noProof/>
          <w:spacing w:val="7"/>
          <w:lang w:eastAsia="zh-CN"/>
        </w:rPr>
        <w:t>月</w:t>
      </w:r>
      <w:r w:rsidRPr="0065569F">
        <w:rPr>
          <w:rFonts w:ascii="微软雅黑" w:eastAsia="微软雅黑" w:hAnsi="微软雅黑" w:cs="微软雅黑"/>
          <w:noProof/>
          <w:spacing w:val="7"/>
          <w:lang w:eastAsia="zh-CN"/>
        </w:rPr>
        <w:t>22</w:t>
      </w:r>
      <w:r w:rsidRPr="0065569F">
        <w:rPr>
          <w:rFonts w:ascii="微软雅黑" w:eastAsia="微软雅黑" w:hAnsi="微软雅黑" w:cs="微软雅黑" w:hint="eastAsia"/>
          <w:noProof/>
          <w:spacing w:val="7"/>
          <w:lang w:eastAsia="zh-CN"/>
        </w:rPr>
        <w:t>日以来高点</w:t>
      </w:r>
      <w:r w:rsidRPr="0065569F">
        <w:rPr>
          <w:rFonts w:ascii="微软雅黑" w:eastAsia="微软雅黑" w:hAnsi="微软雅黑" w:cs="微软雅黑"/>
          <w:noProof/>
          <w:spacing w:val="7"/>
          <w:lang w:eastAsia="zh-CN"/>
        </w:rPr>
        <w:t>15.25</w:t>
      </w:r>
      <w:r w:rsidRPr="0065569F">
        <w:rPr>
          <w:rFonts w:ascii="微软雅黑" w:eastAsia="微软雅黑" w:hAnsi="微软雅黑" w:cs="微软雅黑" w:hint="eastAsia"/>
          <w:noProof/>
          <w:spacing w:val="7"/>
          <w:lang w:eastAsia="zh-CN"/>
        </w:rPr>
        <w:t>美分。</w:t>
      </w:r>
    </w:p>
    <w:p w14:paraId="43843047" w14:textId="77777777" w:rsidR="0065569F" w:rsidRPr="0065569F" w:rsidRDefault="0065569F" w:rsidP="0065569F">
      <w:pPr>
        <w:spacing w:before="103" w:line="256" w:lineRule="auto"/>
        <w:ind w:right="210" w:firstLine="448"/>
        <w:jc w:val="both"/>
        <w:rPr>
          <w:rFonts w:ascii="微软雅黑" w:eastAsia="微软雅黑" w:hAnsi="微软雅黑" w:cs="微软雅黑"/>
          <w:noProof/>
          <w:spacing w:val="7"/>
          <w:lang w:eastAsia="zh-CN"/>
        </w:rPr>
      </w:pPr>
      <w:r w:rsidRPr="0065569F">
        <w:rPr>
          <w:rFonts w:ascii="微软雅黑" w:eastAsia="微软雅黑" w:hAnsi="微软雅黑" w:cs="微软雅黑" w:hint="eastAsia"/>
          <w:noProof/>
          <w:spacing w:val="7"/>
          <w:lang w:eastAsia="zh-CN"/>
        </w:rPr>
        <w:t>国际方面，巴西航运机构</w:t>
      </w:r>
      <w:r w:rsidRPr="0065569F">
        <w:rPr>
          <w:rFonts w:ascii="微软雅黑" w:eastAsia="微软雅黑" w:hAnsi="微软雅黑" w:cs="微软雅黑"/>
          <w:noProof/>
          <w:spacing w:val="7"/>
          <w:lang w:eastAsia="zh-CN"/>
        </w:rPr>
        <w:t>Williams</w:t>
      </w:r>
      <w:r w:rsidRPr="0065569F">
        <w:rPr>
          <w:rFonts w:ascii="微软雅黑" w:eastAsia="微软雅黑" w:hAnsi="微软雅黑" w:cs="微软雅黑" w:hint="eastAsia"/>
          <w:noProof/>
          <w:spacing w:val="7"/>
          <w:lang w:eastAsia="zh-CN"/>
        </w:rPr>
        <w:t>发布的数据显示，截至</w:t>
      </w:r>
      <w:r w:rsidRPr="0065569F">
        <w:rPr>
          <w:rFonts w:ascii="微软雅黑" w:eastAsia="微软雅黑" w:hAnsi="微软雅黑" w:cs="微软雅黑"/>
          <w:noProof/>
          <w:spacing w:val="7"/>
          <w:lang w:eastAsia="zh-CN"/>
        </w:rPr>
        <w:t>6</w:t>
      </w:r>
      <w:r w:rsidRPr="0065569F">
        <w:rPr>
          <w:rFonts w:ascii="微软雅黑" w:eastAsia="微软雅黑" w:hAnsi="微软雅黑" w:cs="微软雅黑" w:hint="eastAsia"/>
          <w:noProof/>
          <w:spacing w:val="7"/>
          <w:lang w:eastAsia="zh-CN"/>
        </w:rPr>
        <w:t>月</w:t>
      </w:r>
      <w:r w:rsidRPr="0065569F">
        <w:rPr>
          <w:rFonts w:ascii="微软雅黑" w:eastAsia="微软雅黑" w:hAnsi="微软雅黑" w:cs="微软雅黑"/>
          <w:noProof/>
          <w:spacing w:val="7"/>
          <w:lang w:eastAsia="zh-CN"/>
        </w:rPr>
        <w:t>24</w:t>
      </w:r>
      <w:r w:rsidRPr="0065569F">
        <w:rPr>
          <w:rFonts w:ascii="微软雅黑" w:eastAsia="微软雅黑" w:hAnsi="微软雅黑" w:cs="微软雅黑" w:hint="eastAsia"/>
          <w:noProof/>
          <w:spacing w:val="7"/>
          <w:lang w:eastAsia="zh-CN"/>
        </w:rPr>
        <w:t>日当周，巴西港口等待装运食糖的船只数量为</w:t>
      </w:r>
      <w:r w:rsidRPr="0065569F">
        <w:rPr>
          <w:rFonts w:ascii="微软雅黑" w:eastAsia="微软雅黑" w:hAnsi="微软雅黑" w:cs="微软雅黑"/>
          <w:noProof/>
          <w:spacing w:val="7"/>
          <w:lang w:eastAsia="zh-CN"/>
        </w:rPr>
        <w:t>47</w:t>
      </w:r>
      <w:r w:rsidRPr="0065569F">
        <w:rPr>
          <w:rFonts w:ascii="微软雅黑" w:eastAsia="微软雅黑" w:hAnsi="微软雅黑" w:cs="微软雅黑" w:hint="eastAsia"/>
          <w:noProof/>
          <w:spacing w:val="7"/>
          <w:lang w:eastAsia="zh-CN"/>
        </w:rPr>
        <w:t>艘，此前一周为</w:t>
      </w:r>
      <w:r w:rsidRPr="0065569F">
        <w:rPr>
          <w:rFonts w:ascii="微软雅黑" w:eastAsia="微软雅黑" w:hAnsi="微软雅黑" w:cs="微软雅黑"/>
          <w:noProof/>
          <w:spacing w:val="7"/>
          <w:lang w:eastAsia="zh-CN"/>
        </w:rPr>
        <w:t>41</w:t>
      </w:r>
      <w:r w:rsidRPr="0065569F">
        <w:rPr>
          <w:rFonts w:ascii="微软雅黑" w:eastAsia="微软雅黑" w:hAnsi="微软雅黑" w:cs="微软雅黑" w:hint="eastAsia"/>
          <w:noProof/>
          <w:spacing w:val="7"/>
          <w:lang w:eastAsia="zh-CN"/>
        </w:rPr>
        <w:t>艘。港口等待装运的食糖数量为</w:t>
      </w:r>
      <w:r w:rsidRPr="0065569F">
        <w:rPr>
          <w:rFonts w:ascii="微软雅黑" w:eastAsia="微软雅黑" w:hAnsi="微软雅黑" w:cs="微软雅黑"/>
          <w:noProof/>
          <w:spacing w:val="7"/>
          <w:lang w:eastAsia="zh-CN"/>
        </w:rPr>
        <w:t>198.46</w:t>
      </w:r>
      <w:r w:rsidRPr="0065569F">
        <w:rPr>
          <w:rFonts w:ascii="微软雅黑" w:eastAsia="微软雅黑" w:hAnsi="微软雅黑" w:cs="微软雅黑" w:hint="eastAsia"/>
          <w:noProof/>
          <w:spacing w:val="7"/>
          <w:lang w:eastAsia="zh-CN"/>
        </w:rPr>
        <w:t>万吨，此前一周为</w:t>
      </w:r>
      <w:r w:rsidRPr="0065569F">
        <w:rPr>
          <w:rFonts w:ascii="微软雅黑" w:eastAsia="微软雅黑" w:hAnsi="微软雅黑" w:cs="微软雅黑"/>
          <w:noProof/>
          <w:spacing w:val="7"/>
          <w:lang w:eastAsia="zh-CN"/>
        </w:rPr>
        <w:t>163.26</w:t>
      </w:r>
      <w:r w:rsidRPr="0065569F">
        <w:rPr>
          <w:rFonts w:ascii="微软雅黑" w:eastAsia="微软雅黑" w:hAnsi="微软雅黑" w:cs="微软雅黑" w:hint="eastAsia"/>
          <w:noProof/>
          <w:spacing w:val="7"/>
          <w:lang w:eastAsia="zh-CN"/>
        </w:rPr>
        <w:t>万吨增加</w:t>
      </w:r>
      <w:r w:rsidRPr="0065569F">
        <w:rPr>
          <w:rFonts w:ascii="微软雅黑" w:eastAsia="微软雅黑" w:hAnsi="微软雅黑" w:cs="微软雅黑"/>
          <w:noProof/>
          <w:spacing w:val="7"/>
          <w:lang w:eastAsia="zh-CN"/>
        </w:rPr>
        <w:t>21.56%</w:t>
      </w:r>
      <w:r w:rsidRPr="0065569F">
        <w:rPr>
          <w:rFonts w:ascii="微软雅黑" w:eastAsia="微软雅黑" w:hAnsi="微软雅黑" w:cs="微软雅黑" w:hint="eastAsia"/>
          <w:noProof/>
          <w:spacing w:val="7"/>
          <w:lang w:eastAsia="zh-CN"/>
        </w:rPr>
        <w:t>。其中桑托斯港等待出口的食糖数量为</w:t>
      </w:r>
      <w:r w:rsidRPr="0065569F">
        <w:rPr>
          <w:rFonts w:ascii="微软雅黑" w:eastAsia="微软雅黑" w:hAnsi="微软雅黑" w:cs="微软雅黑"/>
          <w:noProof/>
          <w:spacing w:val="7"/>
          <w:lang w:eastAsia="zh-CN"/>
        </w:rPr>
        <w:t>155.02</w:t>
      </w:r>
      <w:r w:rsidRPr="0065569F">
        <w:rPr>
          <w:rFonts w:ascii="微软雅黑" w:eastAsia="微软雅黑" w:hAnsi="微软雅黑" w:cs="微软雅黑" w:hint="eastAsia"/>
          <w:noProof/>
          <w:spacing w:val="7"/>
          <w:lang w:eastAsia="zh-CN"/>
        </w:rPr>
        <w:t>万吨。当周等待装运出口的食糖船只数量大幅回升。</w:t>
      </w:r>
    </w:p>
    <w:p w14:paraId="3F44DEBC" w14:textId="413CDBF3" w:rsidR="00C27A84" w:rsidRDefault="0065569F" w:rsidP="0065569F">
      <w:pPr>
        <w:spacing w:before="103" w:line="256" w:lineRule="auto"/>
        <w:ind w:right="210" w:firstLine="448"/>
        <w:jc w:val="both"/>
        <w:rPr>
          <w:rFonts w:ascii="微软雅黑" w:eastAsia="微软雅黑" w:hAnsi="微软雅黑" w:cs="微软雅黑" w:hint="eastAsia"/>
          <w:noProof/>
          <w:spacing w:val="7"/>
          <w:lang w:eastAsia="zh-CN"/>
        </w:rPr>
      </w:pPr>
      <w:r w:rsidRPr="0065569F">
        <w:rPr>
          <w:rFonts w:ascii="微软雅黑" w:eastAsia="微软雅黑" w:hAnsi="微软雅黑" w:cs="微软雅黑" w:hint="eastAsia"/>
          <w:noProof/>
          <w:spacing w:val="7"/>
          <w:lang w:eastAsia="zh-CN"/>
        </w:rPr>
        <w:t>美糖主力价格关注上方压力</w:t>
      </w:r>
      <w:r w:rsidRPr="0065569F">
        <w:rPr>
          <w:rFonts w:ascii="微软雅黑" w:eastAsia="微软雅黑" w:hAnsi="微软雅黑" w:cs="微软雅黑"/>
          <w:noProof/>
          <w:spacing w:val="7"/>
          <w:lang w:eastAsia="zh-CN"/>
        </w:rPr>
        <w:t>16</w:t>
      </w:r>
      <w:r w:rsidRPr="0065569F">
        <w:rPr>
          <w:rFonts w:ascii="微软雅黑" w:eastAsia="微软雅黑" w:hAnsi="微软雅黑" w:cs="微软雅黑" w:hint="eastAsia"/>
          <w:noProof/>
          <w:spacing w:val="7"/>
          <w:lang w:eastAsia="zh-CN"/>
        </w:rPr>
        <w:t>美分</w:t>
      </w:r>
      <w:r w:rsidRPr="0065569F">
        <w:rPr>
          <w:rFonts w:ascii="微软雅黑" w:eastAsia="微软雅黑" w:hAnsi="微软雅黑" w:cs="微软雅黑"/>
          <w:noProof/>
          <w:spacing w:val="7"/>
          <w:lang w:eastAsia="zh-CN"/>
        </w:rPr>
        <w:t>/</w:t>
      </w:r>
      <w:r w:rsidRPr="0065569F">
        <w:rPr>
          <w:rFonts w:ascii="微软雅黑" w:eastAsia="微软雅黑" w:hAnsi="微软雅黑" w:cs="微软雅黑" w:hint="eastAsia"/>
          <w:noProof/>
          <w:spacing w:val="7"/>
          <w:lang w:eastAsia="zh-CN"/>
        </w:rPr>
        <w:t>磅，下方支撑</w:t>
      </w:r>
      <w:r w:rsidRPr="0065569F">
        <w:rPr>
          <w:rFonts w:ascii="微软雅黑" w:eastAsia="微软雅黑" w:hAnsi="微软雅黑" w:cs="微软雅黑"/>
          <w:noProof/>
          <w:spacing w:val="7"/>
          <w:lang w:eastAsia="zh-CN"/>
        </w:rPr>
        <w:t>13.0</w:t>
      </w:r>
      <w:r w:rsidRPr="0065569F">
        <w:rPr>
          <w:rFonts w:ascii="微软雅黑" w:eastAsia="微软雅黑" w:hAnsi="微软雅黑" w:cs="微软雅黑" w:hint="eastAsia"/>
          <w:noProof/>
          <w:spacing w:val="7"/>
          <w:lang w:eastAsia="zh-CN"/>
        </w:rPr>
        <w:t>美分</w:t>
      </w:r>
      <w:r w:rsidRPr="0065569F">
        <w:rPr>
          <w:rFonts w:ascii="微软雅黑" w:eastAsia="微软雅黑" w:hAnsi="微软雅黑" w:cs="微软雅黑"/>
          <w:noProof/>
          <w:spacing w:val="7"/>
          <w:lang w:eastAsia="zh-CN"/>
        </w:rPr>
        <w:t>/</w:t>
      </w:r>
      <w:r w:rsidRPr="0065569F">
        <w:rPr>
          <w:rFonts w:ascii="微软雅黑" w:eastAsia="微软雅黑" w:hAnsi="微软雅黑" w:cs="微软雅黑" w:hint="eastAsia"/>
          <w:noProof/>
          <w:spacing w:val="7"/>
          <w:lang w:eastAsia="zh-CN"/>
        </w:rPr>
        <w:t>磅。建议</w:t>
      </w:r>
      <w:r w:rsidRPr="0065569F">
        <w:rPr>
          <w:rFonts w:ascii="微软雅黑" w:eastAsia="微软雅黑" w:hAnsi="微软雅黑" w:cs="微软雅黑"/>
          <w:noProof/>
          <w:spacing w:val="7"/>
          <w:lang w:eastAsia="zh-CN"/>
        </w:rPr>
        <w:t>10</w:t>
      </w:r>
      <w:r w:rsidRPr="0065569F">
        <w:rPr>
          <w:rFonts w:ascii="微软雅黑" w:eastAsia="微软雅黑" w:hAnsi="微软雅黑" w:cs="微软雅黑" w:hint="eastAsia"/>
          <w:noProof/>
          <w:spacing w:val="7"/>
          <w:lang w:eastAsia="zh-CN"/>
        </w:rPr>
        <w:t>月</w:t>
      </w:r>
      <w:r w:rsidRPr="0065569F">
        <w:rPr>
          <w:rFonts w:ascii="微软雅黑" w:eastAsia="微软雅黑" w:hAnsi="微软雅黑" w:cs="微软雅黑"/>
          <w:noProof/>
          <w:spacing w:val="7"/>
          <w:lang w:eastAsia="zh-CN"/>
        </w:rPr>
        <w:t xml:space="preserve"> ICE </w:t>
      </w:r>
      <w:r w:rsidRPr="0065569F">
        <w:rPr>
          <w:rFonts w:ascii="微软雅黑" w:eastAsia="微软雅黑" w:hAnsi="微软雅黑" w:cs="微软雅黑" w:hint="eastAsia"/>
          <w:noProof/>
          <w:spacing w:val="7"/>
          <w:lang w:eastAsia="zh-CN"/>
        </w:rPr>
        <w:t>期糖短期逢低短多</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6658747" w:rsidR="007A477E" w:rsidRPr="00786136" w:rsidRDefault="0065569F" w:rsidP="007A477E">
      <w:pPr>
        <w:spacing w:before="103" w:line="256" w:lineRule="auto"/>
        <w:ind w:right="210" w:firstLine="420"/>
        <w:jc w:val="center"/>
        <w:rPr>
          <w:rFonts w:ascii="微软雅黑" w:eastAsia="微软雅黑" w:hAnsi="微软雅黑" w:cs="微软雅黑" w:hint="eastAsia"/>
          <w:spacing w:val="7"/>
          <w:lang w:eastAsia="zh-CN"/>
        </w:rPr>
      </w:pPr>
      <w:r>
        <w:rPr>
          <w:noProof/>
        </w:rPr>
        <w:drawing>
          <wp:inline distT="0" distB="0" distL="0" distR="0" wp14:anchorId="17153E6E" wp14:editId="10056B1B">
            <wp:extent cx="5257800" cy="1685925"/>
            <wp:effectExtent l="0" t="0" r="0" b="9525"/>
            <wp:docPr id="1188181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1685925"/>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3BDC4A1" w14:textId="77777777" w:rsidR="0065569F" w:rsidRPr="0065569F" w:rsidRDefault="0065569F" w:rsidP="0065569F">
      <w:pPr>
        <w:spacing w:before="103" w:line="256" w:lineRule="auto"/>
        <w:ind w:right="210" w:firstLine="448"/>
        <w:jc w:val="both"/>
        <w:rPr>
          <w:rFonts w:ascii="微软雅黑" w:eastAsia="微软雅黑" w:hAnsi="微软雅黑" w:cs="微软雅黑"/>
          <w:noProof/>
          <w:spacing w:val="7"/>
          <w:lang w:eastAsia="zh-CN"/>
        </w:rPr>
      </w:pPr>
      <w:r w:rsidRPr="0065569F">
        <w:rPr>
          <w:rFonts w:ascii="微软雅黑" w:eastAsia="微软雅黑" w:hAnsi="微软雅黑" w:cs="微软雅黑" w:hint="eastAsia"/>
          <w:noProof/>
          <w:spacing w:val="7"/>
          <w:lang w:eastAsia="zh-CN"/>
        </w:rPr>
        <w:t>洲际交易所</w:t>
      </w:r>
      <w:r w:rsidRPr="0065569F">
        <w:rPr>
          <w:rFonts w:ascii="微软雅黑" w:eastAsia="微软雅黑" w:hAnsi="微软雅黑" w:cs="微软雅黑"/>
          <w:noProof/>
          <w:spacing w:val="7"/>
          <w:lang w:eastAsia="zh-CN"/>
        </w:rPr>
        <w:t>(ICE)</w:t>
      </w:r>
      <w:r w:rsidRPr="0065569F">
        <w:rPr>
          <w:rFonts w:ascii="微软雅黑" w:eastAsia="微软雅黑" w:hAnsi="微软雅黑" w:cs="微软雅黑" w:hint="eastAsia"/>
          <w:noProof/>
          <w:spacing w:val="7"/>
          <w:lang w:eastAsia="zh-CN"/>
        </w:rPr>
        <w:t>棉花期货周三连续上涨，受谷物市场走强支撑。</w:t>
      </w:r>
      <w:r w:rsidRPr="0065569F">
        <w:rPr>
          <w:rFonts w:ascii="微软雅黑" w:eastAsia="微软雅黑" w:hAnsi="微软雅黑" w:cs="微软雅黑"/>
          <w:noProof/>
          <w:spacing w:val="7"/>
          <w:lang w:eastAsia="zh-CN"/>
        </w:rPr>
        <w:t>ICE 12</w:t>
      </w:r>
      <w:r w:rsidRPr="0065569F">
        <w:rPr>
          <w:rFonts w:ascii="微软雅黑" w:eastAsia="微软雅黑" w:hAnsi="微软雅黑" w:cs="微软雅黑" w:hint="eastAsia"/>
          <w:noProof/>
          <w:spacing w:val="7"/>
          <w:lang w:eastAsia="zh-CN"/>
        </w:rPr>
        <w:t>月棉花期货合约上涨</w:t>
      </w:r>
      <w:r w:rsidRPr="0065569F">
        <w:rPr>
          <w:rFonts w:ascii="微软雅黑" w:eastAsia="微软雅黑" w:hAnsi="微软雅黑" w:cs="微软雅黑"/>
          <w:noProof/>
          <w:spacing w:val="7"/>
          <w:lang w:eastAsia="zh-CN"/>
        </w:rPr>
        <w:t>1.04</w:t>
      </w:r>
      <w:r w:rsidRPr="0065569F">
        <w:rPr>
          <w:rFonts w:ascii="微软雅黑" w:eastAsia="微软雅黑" w:hAnsi="微软雅黑" w:cs="微软雅黑" w:hint="eastAsia"/>
          <w:noProof/>
          <w:spacing w:val="7"/>
          <w:lang w:eastAsia="zh-CN"/>
        </w:rPr>
        <w:t>美分或</w:t>
      </w:r>
      <w:r w:rsidRPr="0065569F">
        <w:rPr>
          <w:rFonts w:ascii="微软雅黑" w:eastAsia="微软雅黑" w:hAnsi="微软雅黑" w:cs="微软雅黑"/>
          <w:noProof/>
          <w:spacing w:val="7"/>
          <w:lang w:eastAsia="zh-CN"/>
        </w:rPr>
        <w:t>1.35%</w:t>
      </w:r>
      <w:r w:rsidRPr="0065569F">
        <w:rPr>
          <w:rFonts w:ascii="微软雅黑" w:eastAsia="微软雅黑" w:hAnsi="微软雅黑" w:cs="微软雅黑" w:hint="eastAsia"/>
          <w:noProof/>
          <w:spacing w:val="7"/>
          <w:lang w:eastAsia="zh-CN"/>
        </w:rPr>
        <w:t>，结算价报每磅</w:t>
      </w:r>
      <w:r w:rsidRPr="0065569F">
        <w:rPr>
          <w:rFonts w:ascii="微软雅黑" w:eastAsia="微软雅黑" w:hAnsi="微软雅黑" w:cs="微软雅黑"/>
          <w:noProof/>
          <w:spacing w:val="7"/>
          <w:lang w:eastAsia="zh-CN"/>
        </w:rPr>
        <w:t>77.84</w:t>
      </w:r>
      <w:r w:rsidRPr="0065569F">
        <w:rPr>
          <w:rFonts w:ascii="微软雅黑" w:eastAsia="微软雅黑" w:hAnsi="微软雅黑" w:cs="微软雅黑" w:hint="eastAsia"/>
          <w:noProof/>
          <w:spacing w:val="7"/>
          <w:lang w:eastAsia="zh-CN"/>
        </w:rPr>
        <w:t>美分。</w:t>
      </w:r>
    </w:p>
    <w:p w14:paraId="0DE264A7" w14:textId="722D20B0" w:rsidR="00ED4A18" w:rsidRDefault="0065569F" w:rsidP="0065569F">
      <w:pPr>
        <w:spacing w:before="103" w:line="256" w:lineRule="auto"/>
        <w:ind w:right="210" w:firstLine="448"/>
        <w:jc w:val="both"/>
        <w:rPr>
          <w:rFonts w:ascii="微软雅黑" w:eastAsia="微软雅黑" w:hAnsi="微软雅黑" w:cs="微软雅黑" w:hint="eastAsia"/>
          <w:noProof/>
          <w:spacing w:val="7"/>
          <w:lang w:eastAsia="zh-CN"/>
        </w:rPr>
      </w:pPr>
      <w:r w:rsidRPr="0065569F">
        <w:rPr>
          <w:rFonts w:ascii="微软雅黑" w:eastAsia="微软雅黑" w:hAnsi="微软雅黑" w:cs="微软雅黑" w:hint="eastAsia"/>
          <w:noProof/>
          <w:spacing w:val="7"/>
          <w:lang w:eastAsia="zh-CN"/>
        </w:rPr>
        <w:lastRenderedPageBreak/>
        <w:t>国际方面，据美国农业部</w:t>
      </w:r>
      <w:r w:rsidRPr="0065569F">
        <w:rPr>
          <w:rFonts w:ascii="微软雅黑" w:eastAsia="微软雅黑" w:hAnsi="微软雅黑" w:cs="微软雅黑"/>
          <w:noProof/>
          <w:spacing w:val="7"/>
          <w:lang w:eastAsia="zh-CN"/>
        </w:rPr>
        <w:t>(USDA)</w:t>
      </w:r>
      <w:r w:rsidRPr="0065569F">
        <w:rPr>
          <w:rFonts w:ascii="微软雅黑" w:eastAsia="微软雅黑" w:hAnsi="微软雅黑" w:cs="微软雅黑" w:hint="eastAsia"/>
          <w:noProof/>
          <w:spacing w:val="7"/>
          <w:lang w:eastAsia="zh-CN"/>
        </w:rPr>
        <w:t>报告显示，美国</w:t>
      </w:r>
      <w:r w:rsidRPr="0065569F">
        <w:rPr>
          <w:rFonts w:ascii="微软雅黑" w:eastAsia="微软雅黑" w:hAnsi="微软雅黑" w:cs="微软雅黑"/>
          <w:noProof/>
          <w:spacing w:val="7"/>
          <w:lang w:eastAsia="zh-CN"/>
        </w:rPr>
        <w:t>2026</w:t>
      </w:r>
      <w:r w:rsidRPr="0065569F">
        <w:rPr>
          <w:rFonts w:ascii="微软雅黑" w:eastAsia="微软雅黑" w:hAnsi="微软雅黑" w:cs="微软雅黑" w:hint="eastAsia"/>
          <w:noProof/>
          <w:spacing w:val="7"/>
          <w:lang w:eastAsia="zh-CN"/>
        </w:rPr>
        <w:t>年棉花种植面积</w:t>
      </w:r>
      <w:r w:rsidRPr="0065569F">
        <w:rPr>
          <w:rFonts w:ascii="微软雅黑" w:eastAsia="微软雅黑" w:hAnsi="微软雅黑" w:cs="微软雅黑"/>
          <w:noProof/>
          <w:spacing w:val="7"/>
          <w:lang w:eastAsia="zh-CN"/>
        </w:rPr>
        <w:t>985</w:t>
      </w:r>
      <w:r w:rsidRPr="0065569F">
        <w:rPr>
          <w:rFonts w:ascii="微软雅黑" w:eastAsia="微软雅黑" w:hAnsi="微软雅黑" w:cs="微软雅黑" w:hint="eastAsia"/>
          <w:noProof/>
          <w:spacing w:val="7"/>
          <w:lang w:eastAsia="zh-CN"/>
        </w:rPr>
        <w:t>万英亩，高于市场预估的</w:t>
      </w:r>
      <w:r w:rsidRPr="0065569F">
        <w:rPr>
          <w:rFonts w:ascii="微软雅黑" w:eastAsia="微软雅黑" w:hAnsi="微软雅黑" w:cs="微软雅黑"/>
          <w:noProof/>
          <w:spacing w:val="7"/>
          <w:lang w:eastAsia="zh-CN"/>
        </w:rPr>
        <w:t>963.6</w:t>
      </w:r>
      <w:r w:rsidRPr="0065569F">
        <w:rPr>
          <w:rFonts w:ascii="微软雅黑" w:eastAsia="微软雅黑" w:hAnsi="微软雅黑" w:cs="微软雅黑" w:hint="eastAsia"/>
          <w:noProof/>
          <w:spacing w:val="7"/>
          <w:lang w:eastAsia="zh-CN"/>
        </w:rPr>
        <w:t>万英亩。</w:t>
      </w:r>
      <w:r w:rsidRPr="0065569F">
        <w:rPr>
          <w:rFonts w:ascii="微软雅黑" w:eastAsia="微软雅黑" w:hAnsi="微软雅黑" w:cs="微软雅黑"/>
          <w:noProof/>
          <w:spacing w:val="7"/>
          <w:lang w:eastAsia="zh-CN"/>
        </w:rPr>
        <w:t>2025</w:t>
      </w:r>
      <w:r w:rsidRPr="0065569F">
        <w:rPr>
          <w:rFonts w:ascii="微软雅黑" w:eastAsia="微软雅黑" w:hAnsi="微软雅黑" w:cs="微软雅黑" w:hint="eastAsia"/>
          <w:noProof/>
          <w:spacing w:val="7"/>
          <w:lang w:eastAsia="zh-CN"/>
        </w:rPr>
        <w:t>年实际种植面积为</w:t>
      </w:r>
      <w:r w:rsidRPr="0065569F">
        <w:rPr>
          <w:rFonts w:ascii="微软雅黑" w:eastAsia="微软雅黑" w:hAnsi="微软雅黑" w:cs="微软雅黑"/>
          <w:noProof/>
          <w:spacing w:val="7"/>
          <w:lang w:eastAsia="zh-CN"/>
        </w:rPr>
        <w:t>928.3</w:t>
      </w:r>
      <w:r w:rsidRPr="0065569F">
        <w:rPr>
          <w:rFonts w:ascii="微软雅黑" w:eastAsia="微软雅黑" w:hAnsi="微软雅黑" w:cs="微软雅黑" w:hint="eastAsia"/>
          <w:noProof/>
          <w:spacing w:val="7"/>
          <w:lang w:eastAsia="zh-CN"/>
        </w:rPr>
        <w:t>万英亩。</w:t>
      </w:r>
      <w:r w:rsidRPr="0065569F">
        <w:rPr>
          <w:rFonts w:ascii="微软雅黑" w:eastAsia="微软雅黑" w:hAnsi="微软雅黑" w:cs="微软雅黑"/>
          <w:noProof/>
          <w:spacing w:val="7"/>
          <w:lang w:eastAsia="zh-CN"/>
        </w:rPr>
        <w:t>2026</w:t>
      </w:r>
      <w:r w:rsidRPr="0065569F">
        <w:rPr>
          <w:rFonts w:ascii="微软雅黑" w:eastAsia="微软雅黑" w:hAnsi="微软雅黑" w:cs="微软雅黑" w:hint="eastAsia"/>
          <w:noProof/>
          <w:spacing w:val="7"/>
          <w:lang w:eastAsia="zh-CN"/>
        </w:rPr>
        <w:t>年美国棉花种植面积高于此前预估和上一年度</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7CA6216" w:rsidR="00C24CC6" w:rsidRDefault="0065569F" w:rsidP="00B44F00">
      <w:pPr>
        <w:spacing w:before="103" w:line="256" w:lineRule="auto"/>
        <w:ind w:right="210" w:firstLine="420"/>
        <w:jc w:val="center"/>
        <w:rPr>
          <w:rFonts w:ascii="微软雅黑" w:eastAsia="微软雅黑" w:hAnsi="微软雅黑" w:cs="微软雅黑" w:hint="eastAsia"/>
          <w:noProof/>
          <w:spacing w:val="7"/>
          <w:lang w:eastAsia="zh-CN"/>
        </w:rPr>
      </w:pPr>
      <w:r>
        <w:rPr>
          <w:noProof/>
        </w:rPr>
        <w:drawing>
          <wp:inline distT="0" distB="0" distL="0" distR="0" wp14:anchorId="7D07AA5F" wp14:editId="47A7EB94">
            <wp:extent cx="5257800" cy="1685925"/>
            <wp:effectExtent l="0" t="0" r="0" b="9525"/>
            <wp:docPr id="8103054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0" cy="168592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F1453" w14:textId="77777777" w:rsidR="000B185C" w:rsidRDefault="000B185C">
      <w:pPr>
        <w:ind w:right="210" w:firstLine="420"/>
      </w:pPr>
      <w:r>
        <w:separator/>
      </w:r>
    </w:p>
  </w:endnote>
  <w:endnote w:type="continuationSeparator" w:id="0">
    <w:p w14:paraId="62429E91" w14:textId="77777777" w:rsidR="000B185C" w:rsidRDefault="000B185C">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6F805" w14:textId="77777777" w:rsidR="000B185C" w:rsidRDefault="000B185C">
      <w:pPr>
        <w:ind w:right="210" w:firstLine="420"/>
      </w:pPr>
      <w:r>
        <w:separator/>
      </w:r>
    </w:p>
  </w:footnote>
  <w:footnote w:type="continuationSeparator" w:id="0">
    <w:p w14:paraId="63593702" w14:textId="77777777" w:rsidR="000B185C" w:rsidRDefault="000B185C">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6849884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66CB"/>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185C"/>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09D5"/>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41E"/>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533"/>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6E0"/>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3A7A"/>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69F"/>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671FF"/>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3C75"/>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2F58"/>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1B68"/>
    <w:rsid w:val="00803093"/>
    <w:rsid w:val="00803E98"/>
    <w:rsid w:val="0080461F"/>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0347"/>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00B"/>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3AFE"/>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4907"/>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3D26"/>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2F4B"/>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0570"/>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789</Words>
  <Characters>4500</Characters>
  <Application>Microsoft Office Word</Application>
  <DocSecurity>0</DocSecurity>
  <Lines>37</Lines>
  <Paragraphs>10</Paragraphs>
  <ScaleCrop>false</ScaleCrop>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2026-07-02T01:13:00Z</dcterms:created>
  <dcterms:modified xsi:type="dcterms:W3CDTF">2026-07-02T01:13:00Z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