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051C71">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4FA9549" w:rsidR="00CA7296" w:rsidRPr="00AA5ABE" w:rsidRDefault="00CA7296" w:rsidP="00CA7296">
      <w:pPr>
        <w:spacing w:line="312" w:lineRule="auto"/>
        <w:ind w:firstLine="420"/>
        <w:rPr>
          <w:rFonts w:ascii="宋体" w:hAnsi="宋体"/>
        </w:rPr>
      </w:pPr>
      <w:r>
        <w:t>周</w:t>
      </w:r>
      <w:r w:rsidR="00BD1196">
        <w:rPr>
          <w:rFonts w:hint="eastAsia"/>
        </w:rPr>
        <w:t>五</w:t>
      </w:r>
      <w:r>
        <w:rPr>
          <w:rFonts w:hint="eastAsia"/>
        </w:rPr>
        <w:t>（</w:t>
      </w:r>
      <w:r w:rsidR="00051C71">
        <w:t>7</w:t>
      </w:r>
      <w:r>
        <w:rPr>
          <w:rFonts w:hint="eastAsia"/>
        </w:rPr>
        <w:t>月</w:t>
      </w:r>
      <w:r w:rsidR="00051C71">
        <w:rPr>
          <w:rFonts w:hint="eastAsia"/>
        </w:rPr>
        <w:t>3</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051C71">
        <w:rPr>
          <w:rFonts w:ascii="宋体" w:hAnsi="宋体" w:cs="宋体"/>
        </w:rPr>
        <w:t>047</w:t>
      </w:r>
      <w:r>
        <w:rPr>
          <w:rFonts w:ascii="宋体" w:hAnsi="宋体" w:cs="宋体"/>
        </w:rPr>
        <w:t>，</w:t>
      </w:r>
      <w:r w:rsidR="00E648F1">
        <w:rPr>
          <w:rFonts w:ascii="宋体" w:hAnsi="宋体" w:cs="宋体" w:hint="eastAsia"/>
        </w:rPr>
        <w:t>调</w:t>
      </w:r>
      <w:r w:rsidR="00BA7AB3">
        <w:rPr>
          <w:rFonts w:ascii="宋体" w:hAnsi="宋体" w:cs="宋体" w:hint="eastAsia"/>
        </w:rPr>
        <w:t>贬</w:t>
      </w:r>
      <w:r w:rsidR="00051C71">
        <w:rPr>
          <w:rFonts w:ascii="宋体" w:hAnsi="宋体" w:cs="宋体" w:hint="eastAsia"/>
        </w:rPr>
        <w:t>4</w:t>
      </w:r>
      <w:r w:rsidR="00051C71">
        <w:rPr>
          <w:rFonts w:ascii="宋体" w:hAnsi="宋体" w:cs="宋体"/>
        </w:rPr>
        <w:t>1</w:t>
      </w:r>
      <w:r w:rsidR="00E648F1">
        <w:rPr>
          <w:rFonts w:ascii="宋体" w:hAnsi="宋体" w:cs="宋体" w:hint="eastAsia"/>
        </w:rPr>
        <w:t>个基点</w:t>
      </w:r>
      <w:r>
        <w:rPr>
          <w:rFonts w:ascii="宋体" w:hAnsi="宋体" w:cs="宋体" w:hint="eastAsia"/>
        </w:rPr>
        <w:t>，累计调</w:t>
      </w:r>
      <w:r w:rsidR="00051C71">
        <w:rPr>
          <w:rFonts w:ascii="宋体" w:hAnsi="宋体" w:cs="宋体" w:hint="eastAsia"/>
        </w:rPr>
        <w:t>降1</w:t>
      </w:r>
      <w:r w:rsidR="00051C71">
        <w:rPr>
          <w:rFonts w:ascii="宋体" w:hAnsi="宋体" w:cs="宋体"/>
        </w:rPr>
        <w:t>19</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B221EB">
        <w:rPr>
          <w:rFonts w:ascii="宋体" w:hAnsi="宋体"/>
        </w:rPr>
        <w:t>9</w:t>
      </w:r>
      <w:r w:rsidRPr="00AA5ABE">
        <w:rPr>
          <w:rFonts w:ascii="宋体" w:hAnsi="宋体" w:hint="eastAsia"/>
        </w:rPr>
        <w:t>收</w:t>
      </w:r>
      <w:r w:rsidR="00827B82">
        <w:rPr>
          <w:rFonts w:ascii="宋体" w:hAnsi="宋体" w:hint="eastAsia"/>
        </w:rPr>
        <w:t>跌</w:t>
      </w:r>
      <w:r w:rsidR="0051119D">
        <w:rPr>
          <w:rFonts w:ascii="宋体" w:hAnsi="宋体" w:hint="eastAsia"/>
        </w:rPr>
        <w:t>0</w:t>
      </w:r>
      <w:r w:rsidR="0051119D">
        <w:rPr>
          <w:rFonts w:ascii="宋体" w:hAnsi="宋体"/>
        </w:rPr>
        <w:t>.</w:t>
      </w:r>
      <w:r w:rsidR="00827B82">
        <w:rPr>
          <w:rFonts w:ascii="宋体" w:hAnsi="宋体"/>
        </w:rPr>
        <w:t>26</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B221EB">
        <w:rPr>
          <w:rFonts w:ascii="宋体" w:hAnsi="宋体"/>
        </w:rPr>
        <w:t>U</w:t>
      </w:r>
      <w:r w:rsidR="00AA5ABE" w:rsidRPr="00AA5ABE">
        <w:rPr>
          <w:rFonts w:ascii="宋体" w:hAnsi="宋体"/>
        </w:rPr>
        <w:t>26</w:t>
      </w:r>
      <w:r w:rsidRPr="00AA5ABE">
        <w:rPr>
          <w:rFonts w:ascii="宋体" w:hAnsi="宋体" w:hint="eastAsia"/>
        </w:rPr>
        <w:t>收</w:t>
      </w:r>
      <w:r w:rsidR="00827B82">
        <w:rPr>
          <w:rFonts w:ascii="宋体" w:hAnsi="宋体" w:hint="eastAsia"/>
        </w:rPr>
        <w:t>跌</w:t>
      </w:r>
      <w:r w:rsidR="0051119D">
        <w:rPr>
          <w:rFonts w:ascii="宋体" w:hAnsi="宋体" w:hint="eastAsia"/>
        </w:rPr>
        <w:t>0</w:t>
      </w:r>
      <w:r w:rsidR="0051119D">
        <w:rPr>
          <w:rFonts w:ascii="宋体" w:hAnsi="宋体"/>
        </w:rPr>
        <w:t>.</w:t>
      </w:r>
      <w:r w:rsidR="00827B82">
        <w:rPr>
          <w:rFonts w:ascii="宋体" w:hAnsi="宋体"/>
        </w:rPr>
        <w:t>17</w:t>
      </w:r>
      <w:r w:rsidR="007844B4" w:rsidRPr="00AA5ABE">
        <w:rPr>
          <w:rFonts w:ascii="宋体" w:hAnsi="宋体"/>
        </w:rPr>
        <w:t>%</w:t>
      </w:r>
      <w:r w:rsidRPr="00AA5ABE">
        <w:rPr>
          <w:rFonts w:ascii="宋体" w:hAnsi="宋体" w:hint="eastAsia"/>
        </w:rPr>
        <w:t>。</w:t>
      </w:r>
    </w:p>
    <w:p w14:paraId="2A8620FC" w14:textId="1EF37D7B"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827B82">
        <w:rPr>
          <w:rFonts w:ascii="宋体" w:hAnsi="宋体" w:cs="宋体"/>
        </w:rPr>
        <w:t>804</w:t>
      </w:r>
      <w:r>
        <w:t>，</w:t>
      </w:r>
      <w:r>
        <w:rPr>
          <w:rFonts w:hint="eastAsia"/>
        </w:rPr>
        <w:t>美元兑离岸人民币收报</w:t>
      </w:r>
      <w:r w:rsidR="003A699C">
        <w:t>6</w:t>
      </w:r>
      <w:r w:rsidR="00C870C1">
        <w:t>.</w:t>
      </w:r>
      <w:r w:rsidR="00827B82">
        <w:t>7856</w:t>
      </w:r>
      <w:r>
        <w:rPr>
          <w:rFonts w:hint="eastAsia"/>
        </w:rPr>
        <w:t>，在当周</w:t>
      </w:r>
      <w:r>
        <w:t>分别</w:t>
      </w:r>
      <w:r w:rsidR="00827B82">
        <w:rPr>
          <w:rFonts w:hint="eastAsia"/>
        </w:rPr>
        <w:t>下跌</w:t>
      </w:r>
      <w:r w:rsidR="002A6475">
        <w:rPr>
          <w:rFonts w:hint="eastAsia"/>
        </w:rPr>
        <w:t>0</w:t>
      </w:r>
      <w:r w:rsidR="002A6475">
        <w:t>.</w:t>
      </w:r>
      <w:r w:rsidR="00827B82">
        <w:t>29</w:t>
      </w:r>
      <w:r w:rsidR="002A6475">
        <w:t>%</w:t>
      </w:r>
      <w:r>
        <w:t>和</w:t>
      </w:r>
      <w:r w:rsidR="00827B82">
        <w:rPr>
          <w:rFonts w:hint="eastAsia"/>
        </w:rPr>
        <w:t>下跌</w:t>
      </w:r>
      <w:r w:rsidR="00827B82">
        <w:rPr>
          <w:rFonts w:hint="eastAsia"/>
        </w:rPr>
        <w:t>0</w:t>
      </w:r>
      <w:r w:rsidR="00827B82">
        <w:t>.28</w:t>
      </w:r>
      <w:r w:rsidR="002A6475">
        <w:t>%</w:t>
      </w:r>
      <w:r>
        <w:t>。欧元兑人民币报</w:t>
      </w:r>
      <w:r w:rsidR="0051119D">
        <w:t>7</w:t>
      </w:r>
      <w:r w:rsidR="00374735">
        <w:t>.7</w:t>
      </w:r>
      <w:r w:rsidR="00827B82">
        <w:t>607</w:t>
      </w:r>
      <w:r>
        <w:t>、英镑兑人民币报</w:t>
      </w:r>
      <w:r w:rsidR="00827B82">
        <w:rPr>
          <w:rFonts w:hint="eastAsia"/>
        </w:rPr>
        <w:t>9</w:t>
      </w:r>
      <w:r w:rsidR="00827B82">
        <w:t>.0606</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827B82">
        <w:t>116</w:t>
      </w:r>
      <w:r w:rsidR="000959E1">
        <w:rPr>
          <w:rFonts w:hint="eastAsia"/>
        </w:rPr>
        <w:t>、</w:t>
      </w:r>
      <w:r>
        <w:t>澳元兑人民币报</w:t>
      </w:r>
      <w:r>
        <w:t>4</w:t>
      </w:r>
      <w:r w:rsidR="006B50D4">
        <w:t>.</w:t>
      </w:r>
      <w:r w:rsidR="00827B82">
        <w:t>706</w:t>
      </w:r>
      <w:r w:rsidR="00D26229">
        <w:t>8</w:t>
      </w:r>
      <w:r>
        <w:rPr>
          <w:rFonts w:hint="eastAsia"/>
        </w:rPr>
        <w:t>，在当</w:t>
      </w:r>
      <w:r>
        <w:t>周分别</w:t>
      </w:r>
      <w:r w:rsidR="00827B82">
        <w:rPr>
          <w:rFonts w:hint="eastAsia"/>
        </w:rPr>
        <w:t>跌</w:t>
      </w:r>
      <w:r w:rsidR="005963F1">
        <w:t>0.</w:t>
      </w:r>
      <w:r w:rsidR="00827B82">
        <w:t>12</w:t>
      </w:r>
      <w:r w:rsidR="002A6475">
        <w:t>%</w:t>
      </w:r>
      <w:r>
        <w:t>、</w:t>
      </w:r>
      <w:r w:rsidR="00D26229">
        <w:rPr>
          <w:rFonts w:hint="eastAsia"/>
        </w:rPr>
        <w:t>涨</w:t>
      </w:r>
      <w:r w:rsidR="00D26229">
        <w:rPr>
          <w:rFonts w:hint="eastAsia"/>
        </w:rPr>
        <w:t>0</w:t>
      </w:r>
      <w:r w:rsidR="00D26229">
        <w:t>.</w:t>
      </w:r>
      <w:r w:rsidR="00827B82">
        <w:t>88</w:t>
      </w:r>
      <w:r w:rsidR="00DD51CB">
        <w:t>%</w:t>
      </w:r>
      <w:r>
        <w:rPr>
          <w:rFonts w:hint="eastAsia"/>
        </w:rPr>
        <w:t>、</w:t>
      </w:r>
      <w:r w:rsidR="00827B82">
        <w:rPr>
          <w:rFonts w:hint="eastAsia"/>
        </w:rPr>
        <w:t>涨</w:t>
      </w:r>
      <w:r w:rsidR="005963F1">
        <w:t>0.</w:t>
      </w:r>
      <w:r w:rsidR="00D26229">
        <w:t>1</w:t>
      </w:r>
      <w:r w:rsidR="00827B82">
        <w:t>6</w:t>
      </w:r>
      <w:r w:rsidR="002A6475">
        <w:t>%</w:t>
      </w:r>
      <w:r>
        <w:t>和</w:t>
      </w:r>
      <w:r w:rsidR="00827B82">
        <w:rPr>
          <w:rFonts w:hint="eastAsia"/>
        </w:rPr>
        <w:t>涨</w:t>
      </w:r>
      <w:r w:rsidR="00827B82">
        <w:rPr>
          <w:rFonts w:hint="eastAsia"/>
        </w:rPr>
        <w:t>0</w:t>
      </w:r>
      <w:r w:rsidR="00827B82">
        <w:t>.36</w:t>
      </w:r>
      <w:r w:rsidR="00FF18A2">
        <w:t>%</w:t>
      </w:r>
      <w:r>
        <w:t>。</w:t>
      </w:r>
    </w:p>
    <w:p w14:paraId="76AC2601" w14:textId="0BAACBC1"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82289B" w:rsidRPr="0082289B">
        <w:rPr>
          <w:rFonts w:hint="eastAsia"/>
        </w:rPr>
        <w:t>6785</w:t>
      </w:r>
      <w:r w:rsidR="0082289B" w:rsidRPr="0082289B">
        <w:rPr>
          <w:rFonts w:hint="eastAsia"/>
        </w:rPr>
        <w:t>亿元</w:t>
      </w:r>
      <w:r w:rsidR="0082289B" w:rsidRPr="0082289B">
        <w:rPr>
          <w:rFonts w:hint="eastAsia"/>
        </w:rPr>
        <w:t>7</w:t>
      </w:r>
      <w:r w:rsidR="0082289B" w:rsidRPr="0082289B">
        <w:rPr>
          <w:rFonts w:hint="eastAsia"/>
        </w:rPr>
        <w:t>天期逆回购和</w:t>
      </w:r>
      <w:r w:rsidR="0082289B" w:rsidRPr="0082289B">
        <w:rPr>
          <w:rFonts w:hint="eastAsia"/>
        </w:rPr>
        <w:t>9000</w:t>
      </w:r>
      <w:r w:rsidR="0082289B" w:rsidRPr="0082289B">
        <w:rPr>
          <w:rFonts w:hint="eastAsia"/>
        </w:rPr>
        <w:t>亿元隔夜逆回购操作，</w:t>
      </w:r>
      <w:r w:rsidR="00FA2531">
        <w:rPr>
          <w:rFonts w:hint="eastAsia"/>
        </w:rPr>
        <w:t>当</w:t>
      </w:r>
      <w:r w:rsidR="0082289B" w:rsidRPr="0082289B">
        <w:rPr>
          <w:rFonts w:hint="eastAsia"/>
        </w:rPr>
        <w:t>周央行公开市场有</w:t>
      </w:r>
      <w:r w:rsidR="0082289B" w:rsidRPr="0082289B">
        <w:rPr>
          <w:rFonts w:hint="eastAsia"/>
        </w:rPr>
        <w:t>22655</w:t>
      </w:r>
      <w:r w:rsidR="0082289B" w:rsidRPr="0082289B">
        <w:rPr>
          <w:rFonts w:hint="eastAsia"/>
        </w:rPr>
        <w:t>亿元逆回购和</w:t>
      </w:r>
      <w:r w:rsidR="0082289B" w:rsidRPr="0082289B">
        <w:rPr>
          <w:rFonts w:hint="eastAsia"/>
        </w:rPr>
        <w:t>9000</w:t>
      </w:r>
      <w:r w:rsidR="0082289B" w:rsidRPr="0082289B">
        <w:rPr>
          <w:rFonts w:hint="eastAsia"/>
        </w:rPr>
        <w:t>亿元隔夜逆回购到期，因此净回笼</w:t>
      </w:r>
      <w:r w:rsidR="0082289B" w:rsidRPr="0082289B">
        <w:rPr>
          <w:rFonts w:hint="eastAsia"/>
        </w:rPr>
        <w:t>15870</w:t>
      </w:r>
      <w:r w:rsidR="0082289B" w:rsidRPr="0082289B">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651080D7"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DB7476" w:rsidRPr="00DB7476">
        <w:rPr>
          <w:rFonts w:ascii="宋体" w:hAnsi="宋体" w:hint="eastAsia"/>
        </w:rPr>
        <w:t>车船税优惠政策将迎15年来首次重大调整。财政部、税务总局、工信部联合发布公告，自2027年1月1日起，取消对节能汽车减半征收车船税政策，取消对纯电动商用车、插电式（含增程式）混合动力汽车、燃料电池商用车免征车船税政策。此次政策调整不区分存量和增量，纳税人拥有上述类型车辆，均需按规定缴纳车船税。纯电动乘用车、燃料电池乘用车不属于车船税法规定的征税范围，不受此次政策调整影响。</w:t>
      </w:r>
    </w:p>
    <w:p w14:paraId="3316BE34" w14:textId="04D84C7E" w:rsidR="00785749" w:rsidRPr="0011314B" w:rsidRDefault="00CA7296" w:rsidP="0011314B">
      <w:pPr>
        <w:spacing w:line="312" w:lineRule="auto"/>
        <w:ind w:firstLine="420"/>
        <w:rPr>
          <w:rFonts w:ascii="宋体" w:hAnsi="宋体"/>
        </w:rPr>
      </w:pPr>
      <w:r w:rsidRPr="0086476E">
        <w:rPr>
          <w:rFonts w:ascii="宋体" w:hAnsi="宋体" w:hint="eastAsia"/>
        </w:rPr>
        <w:t>2、</w:t>
      </w:r>
      <w:r w:rsidR="00DB7476" w:rsidRPr="00DB7476">
        <w:rPr>
          <w:rFonts w:ascii="宋体" w:hAnsi="宋体" w:hint="eastAsia"/>
        </w:rPr>
        <w:t>2026年第三批“两重”建设项目近日已下达，共安排超长期特别国债资金1935亿元。至此，今年“两重”建设项目清单已全部下达完毕。今年以来，国家发改委联合有关行业主管部门，共安排8000亿元支持了1417个重大项目建设。</w:t>
      </w:r>
    </w:p>
    <w:p w14:paraId="0E3CF4D4" w14:textId="46E9508E"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DB7476" w:rsidRPr="00DB7476">
        <w:rPr>
          <w:rFonts w:ascii="宋体" w:hAnsi="宋体" w:hint="eastAsia"/>
        </w:rPr>
        <w:t>美国总统特朗普称，解决俄乌冲突将“比人们认为的要快得多”。俄罗斯总统普京希望结束这场冲突，而且意愿“非常强烈”。乌克兰总统泽连斯基“实际上也希望现在就结束这场冲突”。</w:t>
      </w:r>
    </w:p>
    <w:p w14:paraId="630B9579" w14:textId="0323D8BE" w:rsidR="00BC01B8" w:rsidRPr="00F44D25" w:rsidRDefault="00BC01B8" w:rsidP="001F0839">
      <w:pPr>
        <w:spacing w:line="312" w:lineRule="auto"/>
        <w:ind w:firstLine="420"/>
        <w:rPr>
          <w:rFonts w:ascii="宋体" w:hAnsi="宋体"/>
        </w:rPr>
      </w:pPr>
      <w:r w:rsidRPr="0086476E">
        <w:rPr>
          <w:rFonts w:ascii="宋体" w:hAnsi="宋体" w:hint="eastAsia"/>
        </w:rPr>
        <w:t>4、</w:t>
      </w:r>
      <w:bookmarkStart w:id="0" w:name="_GoBack"/>
      <w:r w:rsidR="00DB7476" w:rsidRPr="00DB7476">
        <w:rPr>
          <w:rFonts w:ascii="宋体" w:hAnsi="宋体" w:hint="eastAsia"/>
        </w:rPr>
        <w:t>美联储主席沃什在欧洲央行中央银行论坛上重申，不会对未来利率政策给出前瞻性</w:t>
      </w:r>
      <w:r w:rsidR="00DB7476" w:rsidRPr="00DB7476">
        <w:rPr>
          <w:rFonts w:ascii="宋体" w:hAnsi="宋体" w:hint="eastAsia"/>
        </w:rPr>
        <w:lastRenderedPageBreak/>
        <w:t>指引。沃什表示，通胀风险已降低，但通胀水平仍然过高。美联储将“开辟一条新的政策路径”，希望7月会议时大家能够展开充分讨论。他还强调，美联储将保持政策独立性，并将继续推动缩减资产负债表。沃什还认为，AI正在重塑经济，但AI是否具有通胀效应仍待观察。</w:t>
      </w:r>
      <w:bookmarkEnd w:id="0"/>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1E63D673" w:rsidR="00CA7296" w:rsidRDefault="00051C71" w:rsidP="00CA7296">
      <w:pPr>
        <w:spacing w:beforeLines="50" w:before="156" w:line="312" w:lineRule="auto"/>
        <w:jc w:val="center"/>
        <w:rPr>
          <w:rFonts w:ascii="微软雅黑" w:eastAsia="微软雅黑" w:hAnsi="微软雅黑"/>
          <w:b/>
          <w:bCs/>
          <w:sz w:val="28"/>
          <w:szCs w:val="28"/>
        </w:rPr>
      </w:pPr>
      <w:r>
        <w:rPr>
          <w:noProof/>
        </w:rPr>
        <w:t xml:space="preserve"> </w:t>
      </w:r>
      <w:r>
        <w:rPr>
          <w:noProof/>
        </w:rPr>
        <w:drawing>
          <wp:inline distT="0" distB="0" distL="0" distR="0" wp14:anchorId="5046F2AC" wp14:editId="5E19C9E9">
            <wp:extent cx="3038475" cy="17389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74612" cy="1759604"/>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5C4714F6" w:rsidR="00CA7296" w:rsidRDefault="00DB7476" w:rsidP="00CA7296">
      <w:pPr>
        <w:spacing w:line="360" w:lineRule="auto"/>
        <w:jc w:val="center"/>
        <w:rPr>
          <w:rFonts w:ascii="宋体" w:hAnsi="宋体"/>
          <w:sz w:val="18"/>
          <w:szCs w:val="18"/>
        </w:rPr>
      </w:pPr>
      <w:r>
        <w:rPr>
          <w:noProof/>
        </w:rPr>
        <w:drawing>
          <wp:inline distT="0" distB="0" distL="0" distR="0" wp14:anchorId="2DFC033A" wp14:editId="00FD3CE1">
            <wp:extent cx="4892581" cy="316928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11010" cy="3181223"/>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49FE9D6C" w:rsidR="00CA7296" w:rsidRPr="00AB4AA6" w:rsidRDefault="00BD18FF" w:rsidP="00AB4AA6">
      <w:pPr>
        <w:jc w:val="center"/>
      </w:pPr>
      <w:r>
        <w:rPr>
          <w:noProof/>
        </w:rPr>
        <w:drawing>
          <wp:inline distT="0" distB="0" distL="0" distR="0" wp14:anchorId="47EA21F5" wp14:editId="5C9C8426">
            <wp:extent cx="3267075" cy="192548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06262" cy="1948584"/>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4C40F656" w:rsidR="00CA7296" w:rsidRDefault="00DB7476" w:rsidP="00CA7296">
      <w:pPr>
        <w:jc w:val="center"/>
      </w:pPr>
      <w:r>
        <w:rPr>
          <w:noProof/>
        </w:rPr>
        <w:drawing>
          <wp:inline distT="0" distB="0" distL="0" distR="0" wp14:anchorId="73372B90" wp14:editId="29FACD80">
            <wp:extent cx="5076825" cy="2506018"/>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4305" cy="2509710"/>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6DCA0BEE" w:rsidR="00CA7296" w:rsidRDefault="00BD18FF" w:rsidP="00CA7296">
      <w:pPr>
        <w:jc w:val="center"/>
      </w:pPr>
      <w:r>
        <w:rPr>
          <w:noProof/>
        </w:rPr>
        <w:drawing>
          <wp:inline distT="0" distB="0" distL="0" distR="0" wp14:anchorId="7B388ADD" wp14:editId="095F1350">
            <wp:extent cx="3286125" cy="1954859"/>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6471" cy="1984809"/>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F749990">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573326C7" w14:textId="77777777" w:rsidR="00BD18FF" w:rsidRDefault="00BD18FF" w:rsidP="00BD18FF">
      <w:pPr>
        <w:spacing w:line="312" w:lineRule="auto"/>
        <w:ind w:firstLine="420"/>
        <w:rPr>
          <w:rFonts w:ascii="宋体" w:hAnsi="宋体" w:cs="宋体"/>
        </w:rPr>
      </w:pPr>
      <w:r w:rsidRPr="00BD18FF">
        <w:rPr>
          <w:rFonts w:ascii="宋体" w:hAnsi="宋体" w:cs="宋体" w:hint="eastAsia"/>
        </w:rPr>
        <w:t>美国</w:t>
      </w:r>
      <w:r w:rsidRPr="00BD18FF">
        <w:rPr>
          <w:rFonts w:ascii="宋体" w:hAnsi="宋体" w:cs="宋体"/>
        </w:rPr>
        <w:t>6月非农就业新增5.7万人，明显低于市场预期，4、5月数据合计下修7.4万人，显示劳动力市场招聘动能较前期明显降温。失业率由4.3%小幅降至4.2%，但主要受劳动参与率回落至61.5%影响，并非就业需求实质性增强。从结构上来看，专业和商业服务、社保援助及医疗保健仍有新增就业，但休闲酒店业减少6.1万人，反映服务消费及季节性用工需求走弱。薪资方面，平均时薪环比上涨0.3%、同比上涨3.5%，薪资增速仍具一定粘性，但已低于整体通胀水平，对居民实际购买力的支撑有限。整体来看，本次非农报告强化美国就业市场边际降</w:t>
      </w:r>
      <w:r w:rsidRPr="00BD18FF">
        <w:rPr>
          <w:rFonts w:ascii="宋体" w:hAnsi="宋体" w:cs="宋体" w:hint="eastAsia"/>
        </w:rPr>
        <w:t>温信号，削弱美联储短期进一步加息的紧迫性，美元及美债收益率面临阶段性回落压力。</w:t>
      </w:r>
    </w:p>
    <w:p w14:paraId="3A7DC26E" w14:textId="632BDDB4" w:rsidR="00BD18FF" w:rsidRPr="00BD18FF" w:rsidRDefault="00BD18FF" w:rsidP="00BD18FF">
      <w:pPr>
        <w:spacing w:line="312" w:lineRule="auto"/>
        <w:ind w:firstLine="420"/>
        <w:rPr>
          <w:rFonts w:ascii="宋体" w:hAnsi="宋体" w:cs="宋体"/>
        </w:rPr>
      </w:pPr>
      <w:r w:rsidRPr="00BD18FF">
        <w:rPr>
          <w:rFonts w:ascii="宋体" w:hAnsi="宋体" w:cs="宋体" w:hint="eastAsia"/>
        </w:rPr>
        <w:t>国内端，</w:t>
      </w:r>
      <w:r>
        <w:rPr>
          <w:rFonts w:ascii="宋体" w:hAnsi="宋体" w:cs="宋体"/>
        </w:rPr>
        <w:t>6</w:t>
      </w:r>
      <w:r w:rsidRPr="00BD18FF">
        <w:rPr>
          <w:rFonts w:ascii="宋体" w:hAnsi="宋体" w:cs="宋体"/>
        </w:rPr>
        <w:t>月我国官方制造业PMI录得50.3，</w:t>
      </w:r>
      <w:r w:rsidRPr="00BD18FF">
        <w:rPr>
          <w:rFonts w:ascii="宋体" w:hAnsi="宋体" w:cs="宋体" w:hint="eastAsia"/>
        </w:rPr>
        <w:t>小幅扩张，反映制造业整体运行稳定，扩张动能有所强化，供需两端双双转为扩张，但结构性分化加剧，新动能与传统行业、不同规模企业走势延续背离。新订单指数为</w:t>
      </w:r>
      <w:r w:rsidRPr="00BD18FF">
        <w:rPr>
          <w:rFonts w:ascii="宋体" w:hAnsi="宋体" w:cs="宋体"/>
        </w:rPr>
        <w:t>51.2，新出口订单为50.1，两者分别回升1.3、1.5个百分点至扩张线，内外需韧性均有体现</w:t>
      </w:r>
      <w:r w:rsidRPr="00BD18FF">
        <w:rPr>
          <w:rFonts w:ascii="宋体" w:hAnsi="宋体" w:cs="宋体" w:hint="eastAsia"/>
        </w:rPr>
        <w:t>，但出厂价格下降的同时购进价格持续上涨，中下游行业利润受到较大幅的挤压。</w:t>
      </w:r>
      <w:r w:rsidRPr="00BD18FF">
        <w:rPr>
          <w:rFonts w:ascii="宋体" w:hAnsi="宋体" w:cs="宋体"/>
        </w:rPr>
        <w:t>5月我国出口同比19.4%，外贸水平再度超预期上行，全球制造业韧性强叠加输入型通胀共同助推价格端大幅上涨，量减价增特征显著。从中长期看，全球经济下行压力大、红海绕行或导致下半年出口增速承压。</w:t>
      </w:r>
      <w:r w:rsidRPr="00BD18FF">
        <w:rPr>
          <w:rFonts w:ascii="宋体" w:hAnsi="宋体" w:cs="宋体" w:hint="eastAsia"/>
        </w:rPr>
        <w:t>需要注意的事，美伊谈判一波三折，人民币兑美元汇率波动料持续加剧。</w:t>
      </w:r>
    </w:p>
    <w:p w14:paraId="0598CD1B" w14:textId="77777777" w:rsidR="00BD18FF" w:rsidRPr="00BD18FF" w:rsidRDefault="00BD18FF" w:rsidP="00BD18FF">
      <w:pPr>
        <w:spacing w:line="312" w:lineRule="auto"/>
        <w:ind w:firstLine="420"/>
        <w:rPr>
          <w:rFonts w:ascii="宋体" w:hAnsi="宋体" w:cs="宋体"/>
        </w:rPr>
      </w:pP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A5A9D" w14:textId="77777777" w:rsidR="00043127" w:rsidRDefault="00043127" w:rsidP="00127060">
      <w:r>
        <w:separator/>
      </w:r>
    </w:p>
  </w:endnote>
  <w:endnote w:type="continuationSeparator" w:id="0">
    <w:p w14:paraId="2B929F49" w14:textId="77777777" w:rsidR="00043127" w:rsidRDefault="00043127"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19AC4" w14:textId="77777777" w:rsidR="00043127" w:rsidRDefault="00043127" w:rsidP="00127060">
      <w:r>
        <w:separator/>
      </w:r>
    </w:p>
  </w:footnote>
  <w:footnote w:type="continuationSeparator" w:id="0">
    <w:p w14:paraId="0CAC36CD" w14:textId="77777777" w:rsidR="00043127" w:rsidRDefault="00043127"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3127"/>
    <w:rsid w:val="000447DD"/>
    <w:rsid w:val="0004620E"/>
    <w:rsid w:val="00046EC5"/>
    <w:rsid w:val="0005052B"/>
    <w:rsid w:val="00051C71"/>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3B4F"/>
    <w:rsid w:val="001359F0"/>
    <w:rsid w:val="001407AC"/>
    <w:rsid w:val="00140BEA"/>
    <w:rsid w:val="001431CC"/>
    <w:rsid w:val="001454F3"/>
    <w:rsid w:val="001470E8"/>
    <w:rsid w:val="00150521"/>
    <w:rsid w:val="00153427"/>
    <w:rsid w:val="00154921"/>
    <w:rsid w:val="001564E1"/>
    <w:rsid w:val="0015671A"/>
    <w:rsid w:val="001573DE"/>
    <w:rsid w:val="0016345C"/>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A6CE8"/>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4A4E"/>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4735"/>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3A79"/>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B7564"/>
    <w:rsid w:val="004C0BD3"/>
    <w:rsid w:val="004C131F"/>
    <w:rsid w:val="004C1D9A"/>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C4837"/>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D62AF"/>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6A7"/>
    <w:rsid w:val="007D4B15"/>
    <w:rsid w:val="007D4C2E"/>
    <w:rsid w:val="007D5617"/>
    <w:rsid w:val="007D60FF"/>
    <w:rsid w:val="007D68B7"/>
    <w:rsid w:val="007E1257"/>
    <w:rsid w:val="007E4414"/>
    <w:rsid w:val="007F0835"/>
    <w:rsid w:val="007F2785"/>
    <w:rsid w:val="007F2A98"/>
    <w:rsid w:val="007F6420"/>
    <w:rsid w:val="00800E28"/>
    <w:rsid w:val="008043B5"/>
    <w:rsid w:val="00804540"/>
    <w:rsid w:val="00813A5E"/>
    <w:rsid w:val="00814C88"/>
    <w:rsid w:val="00821138"/>
    <w:rsid w:val="0082289B"/>
    <w:rsid w:val="008264F8"/>
    <w:rsid w:val="00827B82"/>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0A62"/>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2DD1"/>
    <w:rsid w:val="009E53EE"/>
    <w:rsid w:val="009E58E4"/>
    <w:rsid w:val="009F2447"/>
    <w:rsid w:val="009F3358"/>
    <w:rsid w:val="009F3A72"/>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21EB"/>
    <w:rsid w:val="00B25A83"/>
    <w:rsid w:val="00B26225"/>
    <w:rsid w:val="00B32E5A"/>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AB3"/>
    <w:rsid w:val="00BA7B2C"/>
    <w:rsid w:val="00BA7C59"/>
    <w:rsid w:val="00BB52D1"/>
    <w:rsid w:val="00BB573D"/>
    <w:rsid w:val="00BB7F54"/>
    <w:rsid w:val="00BC01B8"/>
    <w:rsid w:val="00BC1938"/>
    <w:rsid w:val="00BC2F10"/>
    <w:rsid w:val="00BC610A"/>
    <w:rsid w:val="00BD0804"/>
    <w:rsid w:val="00BD1196"/>
    <w:rsid w:val="00BD18FF"/>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6229"/>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B7476"/>
    <w:rsid w:val="00DC2BE9"/>
    <w:rsid w:val="00DC342B"/>
    <w:rsid w:val="00DC373F"/>
    <w:rsid w:val="00DC6E76"/>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0AF1"/>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584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2531"/>
    <w:rsid w:val="00FA33ED"/>
    <w:rsid w:val="00FA6D95"/>
    <w:rsid w:val="00FA7DD2"/>
    <w:rsid w:val="00FB693A"/>
    <w:rsid w:val="00FB6956"/>
    <w:rsid w:val="00FB7024"/>
    <w:rsid w:val="00FB72A5"/>
    <w:rsid w:val="00FC30F3"/>
    <w:rsid w:val="00FD29C8"/>
    <w:rsid w:val="00FD467E"/>
    <w:rsid w:val="00FD78AF"/>
    <w:rsid w:val="00FE13DF"/>
    <w:rsid w:val="00FE51DD"/>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8486">
      <w:bodyDiv w:val="1"/>
      <w:marLeft w:val="0"/>
      <w:marRight w:val="0"/>
      <w:marTop w:val="0"/>
      <w:marBottom w:val="0"/>
      <w:divBdr>
        <w:top w:val="none" w:sz="0" w:space="0" w:color="auto"/>
        <w:left w:val="none" w:sz="0" w:space="0" w:color="auto"/>
        <w:bottom w:val="none" w:sz="0" w:space="0" w:color="auto"/>
        <w:right w:val="none" w:sz="0" w:space="0" w:color="auto"/>
      </w:divBdr>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46209</c:v>
                </c:pt>
                <c:pt idx="1">
                  <c:v>46208</c:v>
                </c:pt>
                <c:pt idx="2">
                  <c:v>46207</c:v>
                </c:pt>
                <c:pt idx="3">
                  <c:v>46206</c:v>
                </c:pt>
                <c:pt idx="4">
                  <c:v>46205</c:v>
                </c:pt>
                <c:pt idx="5">
                  <c:v>46204</c:v>
                </c:pt>
                <c:pt idx="6">
                  <c:v>46203</c:v>
                </c:pt>
              </c:numCache>
            </c:numRef>
          </c:cat>
          <c:val>
            <c:numRef>
              <c:f>'价差 IFIND'!$D$4:$D$10</c:f>
              <c:numCache>
                <c:formatCode>#,##0.0000_ </c:formatCode>
                <c:ptCount val="7"/>
                <c:pt idx="0">
                  <c:v>-3.392174416244842E-3</c:v>
                </c:pt>
                <c:pt idx="1">
                  <c:v>1.2667850056402585E-3</c:v>
                </c:pt>
                <c:pt idx="2">
                  <c:v>-3.5415301172800895E-3</c:v>
                </c:pt>
                <c:pt idx="3">
                  <c:v>1.6418600953649332E-4</c:v>
                </c:pt>
                <c:pt idx="4">
                  <c:v>7.8773817606236918E-4</c:v>
                </c:pt>
                <c:pt idx="5">
                  <c:v>-2.4756278380708707E-3</c:v>
                </c:pt>
                <c:pt idx="6">
                  <c:v>-1.8974908534419299E-3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46209</c:v>
                </c:pt>
                <c:pt idx="1">
                  <c:v>46208</c:v>
                </c:pt>
                <c:pt idx="2">
                  <c:v>46207</c:v>
                </c:pt>
                <c:pt idx="3">
                  <c:v>46206</c:v>
                </c:pt>
                <c:pt idx="4">
                  <c:v>46205</c:v>
                </c:pt>
                <c:pt idx="5">
                  <c:v>46204</c:v>
                </c:pt>
                <c:pt idx="6">
                  <c:v>46203</c:v>
                </c:pt>
              </c:numCache>
            </c:numRef>
          </c:cat>
          <c:val>
            <c:numRef>
              <c:f>'价差 IFIND'!$B$4:$B$10</c:f>
              <c:numCache>
                <c:formatCode>#,##0.0000_ </c:formatCode>
                <c:ptCount val="7"/>
                <c:pt idx="0">
                  <c:v>6.7954848113536901</c:v>
                </c:pt>
                <c:pt idx="1">
                  <c:v>6.7864669188377729</c:v>
                </c:pt>
                <c:pt idx="2">
                  <c:v>6.7816605155432192</c:v>
                </c:pt>
                <c:pt idx="3">
                  <c:v>6.7847623043534391</c:v>
                </c:pt>
                <c:pt idx="4">
                  <c:v>6.788117109111754</c:v>
                </c:pt>
                <c:pt idx="5">
                  <c:v>6.792432279891206</c:v>
                </c:pt>
                <c:pt idx="6">
                  <c:v>6.790057468691133</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46209</c:v>
                </c:pt>
                <c:pt idx="1">
                  <c:v>46208</c:v>
                </c:pt>
                <c:pt idx="2">
                  <c:v>46207</c:v>
                </c:pt>
                <c:pt idx="3">
                  <c:v>46206</c:v>
                </c:pt>
                <c:pt idx="4">
                  <c:v>46205</c:v>
                </c:pt>
                <c:pt idx="5">
                  <c:v>46204</c:v>
                </c:pt>
                <c:pt idx="6">
                  <c:v>46203</c:v>
                </c:pt>
              </c:numCache>
            </c:numRef>
          </c:cat>
          <c:val>
            <c:numRef>
              <c:f>'价差 IFIND'!$C$4:$C$10</c:f>
              <c:numCache>
                <c:formatCode>#,##0.0000_ </c:formatCode>
                <c:ptCount val="7"/>
                <c:pt idx="0">
                  <c:v>6.7988769857699349</c:v>
                </c:pt>
                <c:pt idx="1">
                  <c:v>6.7852001338321326</c:v>
                </c:pt>
                <c:pt idx="2">
                  <c:v>6.7852020456604993</c:v>
                </c:pt>
                <c:pt idx="3">
                  <c:v>6.7845981183439026</c:v>
                </c:pt>
                <c:pt idx="4">
                  <c:v>6.7873293709356917</c:v>
                </c:pt>
                <c:pt idx="5">
                  <c:v>6.7949079077292769</c:v>
                </c:pt>
                <c:pt idx="6">
                  <c:v>6.791954959544575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B5B8-5E85-4D81-82BC-1FEBD797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2024-12-24T02:37:00Z</cp:lastPrinted>
  <dcterms:created xsi:type="dcterms:W3CDTF">2026-06-30T01:23:00Z</dcterms:created>
  <dcterms:modified xsi:type="dcterms:W3CDTF">2026-07-07T01:32:00Z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