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04F186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5F3A7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2E37F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4B1081F6" w:rsidR="007B3E0B" w:rsidRDefault="002E37FC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2E37FC">
        <w:rPr>
          <w:rFonts w:ascii="微软雅黑" w:eastAsia="微软雅黑" w:hAnsi="微软雅黑" w:cs="微软雅黑"/>
          <w:spacing w:val="12"/>
          <w:lang w:eastAsia="zh-CN"/>
        </w:rPr>
        <w:t>美国三大股指全线收涨，道指涨0.27%报52487.41点，</w:t>
      </w:r>
      <w:proofErr w:type="gramStart"/>
      <w:r w:rsidRPr="002E37FC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2E37FC">
        <w:rPr>
          <w:rFonts w:ascii="微软雅黑" w:eastAsia="微软雅黑" w:hAnsi="微软雅黑" w:cs="微软雅黑"/>
          <w:spacing w:val="12"/>
          <w:lang w:eastAsia="zh-CN"/>
        </w:rPr>
        <w:t>500指数涨0.81%报7543.64点，</w:t>
      </w:r>
      <w:proofErr w:type="gramStart"/>
      <w:r w:rsidRPr="002E37FC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2E37FC">
        <w:rPr>
          <w:rFonts w:ascii="微软雅黑" w:eastAsia="微软雅黑" w:hAnsi="微软雅黑" w:cs="微软雅黑"/>
          <w:spacing w:val="12"/>
          <w:lang w:eastAsia="zh-CN"/>
        </w:rPr>
        <w:t>1.3%报26206.89点。美元指数跌0.13%报100.94，非美货币多数上涨，欧元兑美元涨0.12%报1.1430，英镑兑美元涨0.14%报1.3409，澳元兑美元涨0.15%报0.6942，美元兑日元跌0.14%报162.3940，美元兑加元跌0.05%报1.4167，美元兑</w:t>
      </w:r>
      <w:proofErr w:type="gramStart"/>
      <w:r w:rsidRPr="002E37FC">
        <w:rPr>
          <w:rFonts w:ascii="微软雅黑" w:eastAsia="微软雅黑" w:hAnsi="微软雅黑" w:cs="微软雅黑"/>
          <w:spacing w:val="12"/>
          <w:lang w:eastAsia="zh-CN"/>
        </w:rPr>
        <w:t>瑞郎跌</w:t>
      </w:r>
      <w:proofErr w:type="gramEnd"/>
      <w:r w:rsidRPr="002E37FC">
        <w:rPr>
          <w:rFonts w:ascii="微软雅黑" w:eastAsia="微软雅黑" w:hAnsi="微软雅黑" w:cs="微软雅黑"/>
          <w:spacing w:val="12"/>
          <w:lang w:eastAsia="zh-CN"/>
        </w:rPr>
        <w:t>0.18%报0.8071，离岸人民币对美元涨101个基点报6.7963。国际贵金属期货普遍收涨，COMEX黄金期货涨1.23%报4132.60美元/盎司，COMEX白银期货涨3.10%报60.35美元/盎司。</w:t>
      </w:r>
      <w:r w:rsidR="00900347" w:rsidRPr="002E37FC">
        <w:rPr>
          <w:rFonts w:ascii="微软雅黑" w:eastAsia="微软雅黑" w:hAnsi="微软雅黑" w:cs="微软雅黑" w:hint="eastAsia"/>
          <w:spacing w:val="12"/>
          <w:lang w:eastAsia="zh-CN"/>
        </w:rPr>
        <w:t>I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Pr="002E37FC">
        <w:rPr>
          <w:rFonts w:ascii="微软雅黑" w:eastAsia="微软雅黑" w:hAnsi="微软雅黑" w:cs="微软雅黑" w:hint="eastAsia"/>
          <w:spacing w:val="12"/>
          <w:lang w:eastAsia="zh-CN"/>
        </w:rPr>
        <w:t>涨0.26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 w:rsidRPr="002E37FC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014988" w:rsidRPr="002E37FC">
        <w:rPr>
          <w:rFonts w:ascii="微软雅黑" w:eastAsia="微软雅黑" w:hAnsi="微软雅黑" w:cs="微软雅黑" w:hint="eastAsia"/>
          <w:spacing w:val="12"/>
          <w:lang w:eastAsia="zh-CN"/>
        </w:rPr>
        <w:t>5.1</w:t>
      </w:r>
      <w:r w:rsidRPr="002E37FC"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Pr="002E37FC">
        <w:rPr>
          <w:rFonts w:ascii="微软雅黑" w:eastAsia="微软雅黑" w:hAnsi="微软雅黑" w:cs="微软雅黑" w:hint="eastAsia"/>
          <w:spacing w:val="12"/>
          <w:lang w:eastAsia="zh-CN"/>
        </w:rPr>
        <w:t>跌0.12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14988" w:rsidRPr="002E37FC">
        <w:rPr>
          <w:rFonts w:ascii="微软雅黑" w:eastAsia="微软雅黑" w:hAnsi="微软雅黑" w:cs="微软雅黑" w:hint="eastAsia"/>
          <w:spacing w:val="12"/>
          <w:lang w:eastAsia="zh-CN"/>
        </w:rPr>
        <w:t>8</w:t>
      </w:r>
      <w:r w:rsidRPr="002E37FC">
        <w:rPr>
          <w:rFonts w:ascii="微软雅黑" w:eastAsia="微软雅黑" w:hAnsi="微软雅黑" w:cs="微软雅黑" w:hint="eastAsia"/>
          <w:spacing w:val="12"/>
          <w:lang w:eastAsia="zh-CN"/>
        </w:rPr>
        <w:t>0.57</w:t>
      </w:r>
      <w:r w:rsidR="00E43653" w:rsidRPr="002E37FC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CB3D2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3AF4C8C2" w:rsidR="00557736" w:rsidRPr="0022448B" w:rsidRDefault="002E37FC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4D4392B" wp14:editId="67EDAEFB">
            <wp:extent cx="5977278" cy="3939217"/>
            <wp:effectExtent l="0" t="0" r="4445" b="4445"/>
            <wp:docPr id="5388372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59" cy="394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4102727" w14:textId="5E3CE4C9" w:rsidR="00863E18" w:rsidRPr="002A1143" w:rsidRDefault="00863E18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E37FC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美国持续对伊朗发动军事打击，打击范围涉及约90个伊朗军事目标。伊朗随后对美国在中东多国的军事基地发动袭击。与此同时，美国白宫正为可能与伊朗展开持续数日甚至数周的交火做准备。一位美国官员透露，目前局势升级可能会持续一周或一个月，这取决于伊朗是否继续袭击霍尔木兹海峡的商船。以色列国防部长卡茨表示，以色列军方已做好恢复对伊朗军事行动的准备。随着美伊紧张局势再度升级，伊朗被曝24小时内紧急调派多艘油轮，运出约1100万桶原油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4D59D47" w14:textId="4152AF22" w:rsidR="002E37FC" w:rsidRPr="002A1143" w:rsidRDefault="002E37FC" w:rsidP="002E37F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巴基斯坦政府消息人士称，巴基斯坦和卡塔尔已与美国和伊朗建立新的接触渠道，旨在停止军事行动并推动双方根据“伊斯兰堡谅解备忘录”重返谈判进程。尽管冲突再度升级，巴基斯坦方面仍对维持该谅解备忘录持乐观态度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FF578B8" w14:textId="1B356F59" w:rsidR="002E37FC" w:rsidRPr="002A1143" w:rsidRDefault="002E37FC" w:rsidP="002E37F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伊朗伊斯兰革命卫队海军发表声明称，过去两周伊方已逐步开放霍尔木兹海峡，目前通行能力已恢复至战前水平的约50%。革命卫队海军正继续提高船只通行能力。相关船只须遵守伊方安全规定，经伊朗指定航线通行，并向革命卫队海军申请许可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F839681" w14:textId="5C6E7025" w:rsidR="00D9111F" w:rsidRPr="002A1143" w:rsidRDefault="00D9111F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E37FC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美联储新主席沃什推动央行改革的“五大工作组”名单出炉，阵容横跨风投、科技、学界与全球央行圈，包括马克·安德里森、默文·金、曼昆、萨金特等重量级人物。此举被视为沃什重塑美联储政策框架的关键一步，重点指向沟通方式、资产负债表、经济数据、AI生产力冲击和通胀框架五大方向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1EAC7BB" w14:textId="05EFA183" w:rsidR="00014988" w:rsidRPr="002A1143" w:rsidRDefault="00014988" w:rsidP="008D27C1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E37FC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纽约联储主席威廉姆斯表示，尽管中东局势再度升级，预计今年剩余时间能源价格不会持续上涨。他同时强调，美国通胀水平仍然“远高于目标”，美联储将继续依据经济数据决定货币政策，并坚定致力于将通胀率降至2%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70E9A3E" w14:textId="0A4922BB" w:rsidR="00014988" w:rsidRPr="002A1143" w:rsidRDefault="00014988" w:rsidP="008D27C1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1143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美国上周初请失业金人数减少2000人至21.5万人，略低于市场预期的21.8万人，维持在历史低位附近。但前一周续请失业金人数则攀升至181.4万人，创3月以来新高。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45337B2" w14:textId="60A49E57" w:rsidR="00014988" w:rsidRPr="00900347" w:rsidRDefault="00014988" w:rsidP="008D27C1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1143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欧洲央行公布6月货币政策会议纪要显示，鉴于不确定性因素持续存在，避免对未来利率走向</w:t>
      </w:r>
      <w:proofErr w:type="gramStart"/>
      <w:r w:rsidR="002A1143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作出</w:t>
      </w:r>
      <w:proofErr w:type="gramEnd"/>
      <w:r w:rsidR="002A1143" w:rsidRPr="002A1143">
        <w:rPr>
          <w:rFonts w:ascii="微软雅黑" w:eastAsia="微软雅黑" w:hAnsi="微软雅黑" w:cs="微软雅黑"/>
          <w:color w:val="auto"/>
          <w:spacing w:val="4"/>
          <w:lang w:eastAsia="zh-CN"/>
        </w:rPr>
        <w:t>任何指导非常重要，与市场的沟通应“保持中立”，即既不应暗示6月加息是新一轮加息周期的开端，也不应暗示这只是一次性的举措。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2591AE" w14:textId="77777777" w:rsidR="00540161" w:rsidRDefault="00540161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2A1143" w:rsidRPr="00491C4D" w14:paraId="5B8E297F" w14:textId="77777777" w:rsidTr="009119B8">
        <w:trPr>
          <w:trHeight w:val="652"/>
        </w:trPr>
        <w:tc>
          <w:tcPr>
            <w:tcW w:w="1701" w:type="dxa"/>
          </w:tcPr>
          <w:bookmarkEnd w:id="0"/>
          <w:p w14:paraId="4567D2AE" w14:textId="3740E888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2026/7/10</w:t>
            </w:r>
          </w:p>
        </w:tc>
        <w:tc>
          <w:tcPr>
            <w:tcW w:w="1314" w:type="dxa"/>
          </w:tcPr>
          <w:p w14:paraId="3B0A4895" w14:textId="69660A57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0149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07:50</w:t>
            </w:r>
          </w:p>
        </w:tc>
        <w:tc>
          <w:tcPr>
            <w:tcW w:w="6344" w:type="dxa"/>
          </w:tcPr>
          <w:p w14:paraId="148F6123" w14:textId="5504B1F3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日本 6 月 PPI</w:t>
            </w:r>
          </w:p>
        </w:tc>
      </w:tr>
      <w:tr w:rsidR="002A1143" w:rsidRPr="00491C4D" w14:paraId="11459514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6E77A1" w14:textId="46D5FFD7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FF031BB" w14:textId="443720DF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14:00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CB0AF66" w14:textId="3541B32E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德国 6 月 CPI</w:t>
            </w:r>
          </w:p>
        </w:tc>
      </w:tr>
      <w:tr w:rsidR="002A1143" w:rsidRPr="00491C4D" w14:paraId="026840DA" w14:textId="77777777" w:rsidTr="00E43653">
        <w:trPr>
          <w:trHeight w:val="620"/>
        </w:trPr>
        <w:tc>
          <w:tcPr>
            <w:tcW w:w="1701" w:type="dxa"/>
          </w:tcPr>
          <w:p w14:paraId="62457B81" w14:textId="062247D1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2026/7/10</w:t>
            </w:r>
          </w:p>
        </w:tc>
        <w:tc>
          <w:tcPr>
            <w:tcW w:w="1314" w:type="dxa"/>
          </w:tcPr>
          <w:p w14:paraId="1E9FE62C" w14:textId="20B8C747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16:30</w:t>
            </w:r>
          </w:p>
        </w:tc>
        <w:tc>
          <w:tcPr>
            <w:tcW w:w="6344" w:type="dxa"/>
          </w:tcPr>
          <w:p w14:paraId="774DE572" w14:textId="1B1C1E33" w:rsidR="002A1143" w:rsidRPr="00900347" w:rsidRDefault="002A1143" w:rsidP="002A114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A114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7 月 IEA 公布月度石油市场报告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59C2072" w14:textId="77777777" w:rsidR="002A1143" w:rsidRPr="002A1143" w:rsidRDefault="002A1143" w:rsidP="002A1143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美元指数跌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0.13%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100.94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0.12%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1.1430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1.3409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162.3940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1958177" w14:textId="77777777" w:rsidR="002A1143" w:rsidRPr="002A1143" w:rsidRDefault="002A1143" w:rsidP="002A1143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美联储威廉姆斯释放通胀缓和信号，表示未来油价继续大幅走高的可能性有限，后续政策路径仍取决于通胀端的实际表现，隔夜加息预期小幅回落。宏观数据方面，美国上周初请失业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略低于市场预期，保持于历史低位附近水平，但前一周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续请失业金人数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则录得回升。地缘方面，美军开始对伊朗目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标实施进一步打击，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特朗普表示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美伊谅解备忘录“已终结”，可能恢复对伊朗海上封锁。美伊地缘风险再度升温，推动油价短线冲高，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月加息概率回升至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60%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附近水平，美元指数及美债收益率亦同步上行。往前看，美伊谈判延续拉锯态势，谅解备忘录存在破裂风险，且双边于核问题及浓缩铀处置仍未取得实质突破，避险需求仍对美元形成底部支撑。后续重点关注美国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通胀表现及美伊谈判进展。</w:t>
      </w:r>
    </w:p>
    <w:p w14:paraId="502379A4" w14:textId="0F949A16" w:rsidR="002760F0" w:rsidRPr="002760F0" w:rsidRDefault="002A1143" w:rsidP="002A1143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布伦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特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原油触及两周高位，油价上涨加剧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通胀担忧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并推升对欧洲央行加息的押注。欧元区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A1143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同比增速由前期高位回落，欧央行整体维持鹰派基调，短期或对欧元形成支撑，但在美联储鹰派基调延续、美欧利差</w:t>
      </w:r>
      <w:proofErr w:type="gramStart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持续走阔的</w:t>
      </w:r>
      <w:proofErr w:type="gramEnd"/>
      <w:r w:rsidRPr="002A1143">
        <w:rPr>
          <w:rFonts w:ascii="微软雅黑" w:eastAsia="微软雅黑" w:hAnsi="微软雅黑" w:cs="微软雅黑" w:hint="eastAsia"/>
          <w:spacing w:val="7"/>
          <w:lang w:eastAsia="zh-CN"/>
        </w:rPr>
        <w:t>背景下，欧元反弹空间有限。日元近期低位震荡运行，美日货币政策分化格局未改，美国经济韧性支撑美联储加息预期，而日本央行仍沿渐进路径正常化，利差劣势叠加套息与避险美元需求，日元或延续承压偏弱格局</w:t>
      </w:r>
      <w:r w:rsidR="00A27DD1" w:rsidRPr="00A27DD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2B5DB36" w:rsidR="007A477E" w:rsidRDefault="002A1143" w:rsidP="002B2EDC">
      <w:pPr>
        <w:spacing w:before="120" w:line="190" w:lineRule="auto"/>
        <w:ind w:right="210" w:firstLineChars="200" w:firstLine="44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054AC">
        <w:rPr>
          <w:rFonts w:ascii="黑体" w:eastAsia="黑体" w:hAnsi="黑体" w:cs="黑体"/>
          <w:noProof/>
          <w:color w:val="000000" w:themeColor="text1"/>
          <w:sz w:val="22"/>
          <w:szCs w:val="22"/>
          <w:shd w:val="clear" w:color="auto" w:fill="FFFFFF"/>
          <w:lang w:bidi="ar"/>
        </w:rPr>
        <w:drawing>
          <wp:inline distT="0" distB="0" distL="0" distR="0" wp14:anchorId="35A77093" wp14:editId="73967597">
            <wp:extent cx="4133850" cy="2162175"/>
            <wp:effectExtent l="0" t="0" r="0" b="9525"/>
            <wp:docPr id="1676968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28CF4CAE" w:rsidR="00ED4A18" w:rsidRDefault="002A1143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A1143">
        <w:rPr>
          <w:rFonts w:ascii="微软雅黑" w:eastAsia="微软雅黑" w:hAnsi="微软雅黑" w:cs="微软雅黑"/>
          <w:spacing w:val="7"/>
          <w:lang w:eastAsia="zh-CN"/>
        </w:rPr>
        <w:t>截至7月9日，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500指数上涨0.81%至7543.64；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500主力合约上涨0.94%至7586.25点。经济数据上，美国上周初请失业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金人数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减少2000人至21.5万人，略低于市场预期的21.8万人，维持在历史低位附近。劳动市场仍然稳健。地缘局势上，美国持续对伊朗发动打击，产业消息面，苹果与博通达成一项为期多年的合作协议，预计采购规模将超过300亿美元。消息带动芯片股走强。整体来看，虽然美伊冲突再度升温，但市场对于冲突的观点倾向于短期紧张局势的升级，而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非整体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谈判进程的逆转。此外，行业利好消息推升芯片股的同时，经济数据维持良好也支撑美股，上述双重因素的作用盖过了地缘局势升温的负面影响</w:t>
      </w:r>
      <w:r w:rsidR="00ED4A18" w:rsidRPr="00ED4A1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0BD16DB" w:rsidR="007A477E" w:rsidRPr="00EE7376" w:rsidRDefault="002A1143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5121C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61229D8F" wp14:editId="2E4B815C">
            <wp:extent cx="5274310" cy="1610525"/>
            <wp:effectExtent l="0" t="0" r="2540" b="8890"/>
            <wp:docPr id="237657723" name="图片 237657723" descr="C:\Users\Administrator\xwechat_files\wxid_vkxlzo0vqu7s22_6f5b\temp\InputTemp\42e6c1aa-2563-4f3d-a76f-bff2ee423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42e6c1aa-2563-4f3d-a76f-bff2ee423f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5AE26BBD" w14:textId="4ED5D309" w:rsidR="00B51D3C" w:rsidRDefault="002A1143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A1143">
        <w:rPr>
          <w:rFonts w:ascii="微软雅黑" w:eastAsia="微软雅黑" w:hAnsi="微软雅黑" w:cs="微软雅黑"/>
          <w:spacing w:val="7"/>
          <w:lang w:eastAsia="zh-CN"/>
        </w:rPr>
        <w:t>截至7月9日，富时中国A50指数上涨2.63%至15509.8；新交所富时A50期指主力合约上2.88%至15282。。海外方面，苹果与博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通签订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大额新订单，带动美股芯片股强势上涨。国内方面，经济基本面，6月份，我国PPI同比增速进一步上行，但受到油价回落影响，环比增长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鑫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科技发布公告，公司新股网上及网下申购日为7月16日，上市募集资金将用于主营业务投资。整体来看，国内通胀传导不畅，反映出当前消费需求依旧不足，使得传统消费类股表现依旧疲弱。然而，由于长</w:t>
      </w:r>
      <w:proofErr w:type="gramStart"/>
      <w:r w:rsidRPr="002A1143">
        <w:rPr>
          <w:rFonts w:ascii="微软雅黑" w:eastAsia="微软雅黑" w:hAnsi="微软雅黑" w:cs="微软雅黑"/>
          <w:spacing w:val="7"/>
          <w:lang w:eastAsia="zh-CN"/>
        </w:rPr>
        <w:t>鑫</w:t>
      </w:r>
      <w:proofErr w:type="gramEnd"/>
      <w:r w:rsidRPr="002A1143">
        <w:rPr>
          <w:rFonts w:ascii="微软雅黑" w:eastAsia="微软雅黑" w:hAnsi="微软雅黑" w:cs="微软雅黑"/>
          <w:spacing w:val="7"/>
          <w:lang w:eastAsia="zh-CN"/>
        </w:rPr>
        <w:t>科技上市在即，芯片股交易热情或被进一步推向高潮，同时，前几日韩国股市，也使得资金由亚太周边市场向A股转移。最后，美股方面，人工智能相关领域的开支依旧强劲，也说明人工智能行情仍在继续</w:t>
      </w:r>
      <w:r w:rsidR="00965C94" w:rsidRPr="00965C94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77783DA9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2DB6177A" w:rsidR="00A10388" w:rsidRDefault="002A1143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E5121C">
        <w:rPr>
          <w:rFonts w:ascii="宋体" w:eastAsia="宋体" w:hAnsi="宋体"/>
          <w:b/>
          <w:noProof/>
        </w:rPr>
        <w:drawing>
          <wp:inline distT="0" distB="0" distL="0" distR="0" wp14:anchorId="3DAF7571" wp14:editId="3D60312E">
            <wp:extent cx="5274310" cy="1613734"/>
            <wp:effectExtent l="0" t="0" r="2540" b="5715"/>
            <wp:docPr id="3" name="图片 3" descr="C:\Users\Administrator\xwechat_files\wxid_vkxlzo0vqu7s22_6f5b\temp\InputTemp\64c99807-cce5-4f5a-ba99-3e5016eb0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64c99807-cce5-4f5a-ba99-3e5016eb05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A1F9EDC" w14:textId="1D0E59A7" w:rsidR="005B5E6A" w:rsidRDefault="002A1143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2A1143">
        <w:rPr>
          <w:rFonts w:ascii="微软雅黑" w:eastAsia="微软雅黑" w:hAnsi="微软雅黑" w:cs="微软雅黑"/>
          <w:spacing w:val="12"/>
          <w:lang w:eastAsia="zh-CN"/>
        </w:rPr>
        <w:t>隔夜COMEX铜震荡偏强，报收6.2475元/磅，涨跌幅+2.29%。国际方面，纽约联储主席威廉姆斯表示，尽管中东局势再度升级，预计今年剩余时间能源价格不会持续上涨。他同时强调，美国通胀水平仍然“远高于目标”，美联储将继续依据经济数据决定货币政策，并坚定致力于将通胀率降至2%。国内方面，国家统计局公布数据显示，6月，受季节性因素和国际市场价格波动等因素影响，我国CPI环比下降0.3%，同比则上涨1%，核心CPI同比上涨1%。国内部分行业需求增加，但受国际原油价格下行等因素影响，PPI环比下降0.3%，同比上涨4.1%。库存方面，截至2026年7月9日，COMEX铜库存为675893短吨，环比+1815短吨；LME铜库存为307750吨，环比-2900吨；SHFE每日仓单53849吨，环比-3487吨。美元美债方面，因美伊临时协议前景不明，美元指数触及一周高点后回落</w:t>
      </w:r>
      <w:r w:rsidRPr="002A1143">
        <w:rPr>
          <w:rFonts w:ascii="微软雅黑" w:eastAsia="微软雅黑" w:hAnsi="微软雅黑" w:cs="微软雅黑"/>
          <w:spacing w:val="12"/>
          <w:lang w:eastAsia="zh-CN"/>
        </w:rPr>
        <w:lastRenderedPageBreak/>
        <w:t>，</w:t>
      </w:r>
      <w:proofErr w:type="gramStart"/>
      <w:r w:rsidRPr="002A1143">
        <w:rPr>
          <w:rFonts w:ascii="微软雅黑" w:eastAsia="微软雅黑" w:hAnsi="微软雅黑" w:cs="微软雅黑"/>
          <w:spacing w:val="12"/>
          <w:lang w:eastAsia="zh-CN"/>
        </w:rPr>
        <w:t>最终收跌</w:t>
      </w:r>
      <w:proofErr w:type="gramEnd"/>
      <w:r w:rsidRPr="002A1143">
        <w:rPr>
          <w:rFonts w:ascii="微软雅黑" w:eastAsia="微软雅黑" w:hAnsi="微软雅黑" w:cs="微软雅黑"/>
          <w:spacing w:val="12"/>
          <w:lang w:eastAsia="zh-CN"/>
        </w:rPr>
        <w:t>0.02%，报101.05；基准的</w:t>
      </w:r>
      <w:proofErr w:type="gramStart"/>
      <w:r w:rsidRPr="002A1143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2A1143">
        <w:rPr>
          <w:rFonts w:ascii="微软雅黑" w:eastAsia="微软雅黑" w:hAnsi="微软雅黑" w:cs="微软雅黑"/>
          <w:spacing w:val="12"/>
          <w:lang w:eastAsia="zh-CN"/>
        </w:rPr>
        <w:t>收益率收报4.770%，对美联储政策利率敏感的</w:t>
      </w:r>
      <w:proofErr w:type="gramStart"/>
      <w:r w:rsidRPr="002A1143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2A1143">
        <w:rPr>
          <w:rFonts w:ascii="微软雅黑" w:eastAsia="微软雅黑" w:hAnsi="微软雅黑" w:cs="微软雅黑"/>
          <w:spacing w:val="12"/>
          <w:lang w:eastAsia="zh-CN"/>
        </w:rPr>
        <w:t>收益率收报4.229%。操作建议，</w:t>
      </w:r>
      <w:proofErr w:type="gramStart"/>
      <w:r w:rsidRPr="002A1143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2A1143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5B5E6A" w:rsidRPr="005B5E6A">
        <w:rPr>
          <w:rFonts w:ascii="微软雅黑" w:eastAsia="微软雅黑" w:hAnsi="微软雅黑" w:cs="微软雅黑"/>
          <w:spacing w:val="12"/>
          <w:lang w:eastAsia="zh-CN"/>
        </w:rPr>
        <w:t>。</w:t>
      </w:r>
    </w:p>
    <w:p w14:paraId="18E9CDAF" w14:textId="68442A82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FC4B1BF" w:rsidR="00A02266" w:rsidRDefault="002A1143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07E3A004" wp14:editId="427E72B3">
            <wp:extent cx="5274310" cy="2879090"/>
            <wp:effectExtent l="0" t="0" r="2540" b="0"/>
            <wp:docPr id="43817603" name="图片 4381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202DDBA" w14:textId="6CD4DE2B" w:rsidR="00F850DC" w:rsidRDefault="002A1143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2A1143">
        <w:rPr>
          <w:rFonts w:ascii="微软雅黑" w:eastAsia="微软雅黑" w:hAnsi="微软雅黑" w:cs="微软雅黑"/>
          <w:noProof/>
          <w:spacing w:val="7"/>
          <w:lang w:eastAsia="zh-CN"/>
        </w:rPr>
        <w:t>隔夜，贵金属市场止跌反弹，COMEX黄金期货涨1.23%报4132.60美元/盎司，COMEX白银期货涨3.10%报60.35美元/盎司。美联储威廉姆斯释放通胀缓和信号，表示未来油价继续大幅走高的可能性有限，后续政策路径仍取决于通胀端的实际表现，加息预期小幅回落。宏观数据方面，美国上周初请失业金人数略低于市场预期，保持于历史低位附近水平，但前一周续请失业金人数则录得回升。地缘方面，美军开始对伊朗目标实施进一步打击，特朗普表示美伊谅解备忘录“已终结”，可能恢复对伊朗海上封锁。往前看，贵金属大幅下行空间或相对有限，但趋势性上行仍需等待更明确的宏观催化。一方面，6月非农数据显著降温削弱美联储短期进一步加息的紧迫性，9月加息概率较前期高位有所回落，就业需求降温预示美国经济韧性叙事开始松动，贵金属前期受到的实际利率压制有所缓解。当前贵金属走势的核心变量为，美伊冲突仍有反复，可能继续对油价驱动的通胀端造成扰动，且美伊就核问题及浓缩铀处置等分歧仍未取得实质突破，不排除后续冲突阶段性上演的可能性。中长期来看，新兴市场央行逢低购金、美国债务问题持久化、全球储备资产再配置需求仍提供底部支撑。整体而言，加息预期降温边际改善贵金属短线反弹动能，但地缘风险或仍有反复，操作上建议观望，等待CPI及美联储表态进一步确认方向</w:t>
      </w:r>
      <w:r w:rsidR="003B15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0418445A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4163FCD6" w:rsidR="007A477E" w:rsidRDefault="00E01696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B054AC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33E76BBE" wp14:editId="501D353C">
            <wp:extent cx="4467225" cy="2085975"/>
            <wp:effectExtent l="0" t="0" r="9525" b="9525"/>
            <wp:docPr id="1066678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249C2DA0" w14:textId="77777777" w:rsidR="00E01696" w:rsidRPr="00E01696" w:rsidRDefault="00E01696" w:rsidP="00E0169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原糖期货周四几近持平，市场缺乏明显的交投指引。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0.07%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15.12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68F1BE2" w14:textId="77777777" w:rsidR="00E01696" w:rsidRPr="00E01696" w:rsidRDefault="00E01696" w:rsidP="00E0169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国际方面，多家机构调查显示，巴西中南部地区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月上半月糖产量料为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221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万吨，较上年同期减少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9.5%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，同期甘蔗压榨量料为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3835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1.3%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3F44DEBC" w14:textId="0B2D6EE4" w:rsidR="00C27A84" w:rsidRDefault="00E01696" w:rsidP="00E0169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15.8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13.8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16191C1F" w:rsidR="007A477E" w:rsidRPr="00786136" w:rsidRDefault="00E01696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363A2CA" wp14:editId="2BA9F845">
            <wp:extent cx="5270500" cy="1941195"/>
            <wp:effectExtent l="0" t="0" r="6350" b="1905"/>
            <wp:docPr id="1396021051" name="图片 5" descr="QQ截图2026071008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Q截图202607100803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56A7DC1" w14:textId="77777777" w:rsidR="00E01696" w:rsidRPr="00E01696" w:rsidRDefault="00E01696" w:rsidP="00E0169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棉花期货周四连续第二个交易日下跌，尽管美国农业部周度出口销售报告表现强劲，因投资者在本周早些时候的反弹后继续获利了结，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0.04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0.05%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80.63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E264A7" w14:textId="21672A4F" w:rsidR="00ED4A18" w:rsidRDefault="00E01696" w:rsidP="00E0169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国际方面，美国农业部报告下属的首席经济学家办公室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(OCE)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显示，截至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30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日当周，美国约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56%</w:t>
      </w:r>
      <w:r w:rsidRPr="00E0169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棉花产区受到干旱影响，低于之前一周的</w:t>
      </w:r>
      <w:r w:rsidRPr="00E01696">
        <w:rPr>
          <w:rFonts w:ascii="微软雅黑" w:eastAsia="微软雅黑" w:hAnsi="微软雅黑" w:cs="微软雅黑"/>
          <w:noProof/>
          <w:spacing w:val="7"/>
          <w:lang w:eastAsia="zh-CN"/>
        </w:rPr>
        <w:t>58%</w:t>
      </w:r>
      <w:r w:rsidR="00ED4A18"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A1DAAAA" w:rsidR="00C24CC6" w:rsidRDefault="00E01696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2801751A" wp14:editId="69D1AB6A">
            <wp:extent cx="5270500" cy="2139315"/>
            <wp:effectExtent l="0" t="0" r="6350" b="0"/>
            <wp:docPr id="851573308" name="图片 6" descr="QQ截图2026071008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Q截图202607100804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589C6" w14:textId="77777777" w:rsidR="003F5B09" w:rsidRDefault="003F5B09">
      <w:pPr>
        <w:ind w:right="210" w:firstLine="420"/>
      </w:pPr>
      <w:r>
        <w:separator/>
      </w:r>
    </w:p>
  </w:endnote>
  <w:endnote w:type="continuationSeparator" w:id="0">
    <w:p w14:paraId="51BC9ECC" w14:textId="77777777" w:rsidR="003F5B09" w:rsidRDefault="003F5B09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E3D28" w14:textId="77777777" w:rsidR="003F5B09" w:rsidRDefault="003F5B09">
      <w:pPr>
        <w:ind w:right="210" w:firstLine="420"/>
      </w:pPr>
      <w:r>
        <w:separator/>
      </w:r>
    </w:p>
  </w:footnote>
  <w:footnote w:type="continuationSeparator" w:id="0">
    <w:p w14:paraId="38957470" w14:textId="77777777" w:rsidR="003F5B09" w:rsidRDefault="003F5B09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6849884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988"/>
    <w:rsid w:val="00014D87"/>
    <w:rsid w:val="000159F9"/>
    <w:rsid w:val="0001628C"/>
    <w:rsid w:val="000166CB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058"/>
    <w:rsid w:val="0005517D"/>
    <w:rsid w:val="00057525"/>
    <w:rsid w:val="000575E1"/>
    <w:rsid w:val="00060769"/>
    <w:rsid w:val="00060DE6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185C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09D5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490"/>
    <w:rsid w:val="001106DA"/>
    <w:rsid w:val="00110D06"/>
    <w:rsid w:val="0011113D"/>
    <w:rsid w:val="001113FA"/>
    <w:rsid w:val="001123C4"/>
    <w:rsid w:val="001136D4"/>
    <w:rsid w:val="00115A1A"/>
    <w:rsid w:val="00116185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4D96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5EC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41E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43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533"/>
    <w:rsid w:val="002E09B8"/>
    <w:rsid w:val="002E11CA"/>
    <w:rsid w:val="002E233D"/>
    <w:rsid w:val="002E2398"/>
    <w:rsid w:val="002E37FC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1F29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1539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5B09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1CAA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3AAD"/>
    <w:rsid w:val="00484C55"/>
    <w:rsid w:val="00484E17"/>
    <w:rsid w:val="0048502E"/>
    <w:rsid w:val="00485CF2"/>
    <w:rsid w:val="004869DD"/>
    <w:rsid w:val="004900A5"/>
    <w:rsid w:val="0049083B"/>
    <w:rsid w:val="00490E01"/>
    <w:rsid w:val="00490F16"/>
    <w:rsid w:val="0049175A"/>
    <w:rsid w:val="00491C4D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6E0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5EC4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583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0161"/>
    <w:rsid w:val="0054186C"/>
    <w:rsid w:val="00541B3A"/>
    <w:rsid w:val="005432AF"/>
    <w:rsid w:val="005436D4"/>
    <w:rsid w:val="005446C7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37EF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3D17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5E6A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3A7A"/>
    <w:rsid w:val="005F4937"/>
    <w:rsid w:val="005F4A09"/>
    <w:rsid w:val="005F5D93"/>
    <w:rsid w:val="005F62DA"/>
    <w:rsid w:val="005F7926"/>
    <w:rsid w:val="005F7A56"/>
    <w:rsid w:val="005F7D1A"/>
    <w:rsid w:val="00601D35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129D"/>
    <w:rsid w:val="0064243E"/>
    <w:rsid w:val="00642558"/>
    <w:rsid w:val="00642D7D"/>
    <w:rsid w:val="00643C9E"/>
    <w:rsid w:val="00643E0C"/>
    <w:rsid w:val="00644943"/>
    <w:rsid w:val="00644A9F"/>
    <w:rsid w:val="00644AEE"/>
    <w:rsid w:val="006458DB"/>
    <w:rsid w:val="00646C5A"/>
    <w:rsid w:val="00647A80"/>
    <w:rsid w:val="0065002F"/>
    <w:rsid w:val="00651887"/>
    <w:rsid w:val="006536EA"/>
    <w:rsid w:val="00653A5D"/>
    <w:rsid w:val="00653C3C"/>
    <w:rsid w:val="00654E6B"/>
    <w:rsid w:val="0065569F"/>
    <w:rsid w:val="00655BBF"/>
    <w:rsid w:val="00657D46"/>
    <w:rsid w:val="00660E1C"/>
    <w:rsid w:val="00660EB1"/>
    <w:rsid w:val="00660F86"/>
    <w:rsid w:val="00661EA6"/>
    <w:rsid w:val="00662AE9"/>
    <w:rsid w:val="00662D67"/>
    <w:rsid w:val="006645DE"/>
    <w:rsid w:val="00664DC3"/>
    <w:rsid w:val="00665186"/>
    <w:rsid w:val="006662F6"/>
    <w:rsid w:val="00666346"/>
    <w:rsid w:val="006669F0"/>
    <w:rsid w:val="00666A9D"/>
    <w:rsid w:val="006671FF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72B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0B60"/>
    <w:rsid w:val="007229F6"/>
    <w:rsid w:val="00722D9F"/>
    <w:rsid w:val="00723697"/>
    <w:rsid w:val="007237B9"/>
    <w:rsid w:val="007238CB"/>
    <w:rsid w:val="00723C75"/>
    <w:rsid w:val="00725257"/>
    <w:rsid w:val="00725283"/>
    <w:rsid w:val="00725B26"/>
    <w:rsid w:val="00726161"/>
    <w:rsid w:val="00727595"/>
    <w:rsid w:val="00727F7F"/>
    <w:rsid w:val="007300C9"/>
    <w:rsid w:val="0073097E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0CD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3D82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2F58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36D9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CAA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5CED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1B68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486F"/>
    <w:rsid w:val="00814EEB"/>
    <w:rsid w:val="0081618A"/>
    <w:rsid w:val="00816288"/>
    <w:rsid w:val="0081686E"/>
    <w:rsid w:val="0082015E"/>
    <w:rsid w:val="008202A7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40CB"/>
    <w:rsid w:val="008452A0"/>
    <w:rsid w:val="00845B7D"/>
    <w:rsid w:val="00845F7E"/>
    <w:rsid w:val="00846477"/>
    <w:rsid w:val="00846EF5"/>
    <w:rsid w:val="008473AF"/>
    <w:rsid w:val="0085140B"/>
    <w:rsid w:val="00851C6B"/>
    <w:rsid w:val="00851CF1"/>
    <w:rsid w:val="00853615"/>
    <w:rsid w:val="00853C1D"/>
    <w:rsid w:val="008560BB"/>
    <w:rsid w:val="00856E86"/>
    <w:rsid w:val="008577CC"/>
    <w:rsid w:val="0086045C"/>
    <w:rsid w:val="008609BE"/>
    <w:rsid w:val="00861C67"/>
    <w:rsid w:val="00863DC4"/>
    <w:rsid w:val="00863E18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A4A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7C1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276"/>
    <w:rsid w:val="008E695F"/>
    <w:rsid w:val="008E78A0"/>
    <w:rsid w:val="008F35C2"/>
    <w:rsid w:val="008F3BD6"/>
    <w:rsid w:val="008F3E36"/>
    <w:rsid w:val="008F419C"/>
    <w:rsid w:val="008F6863"/>
    <w:rsid w:val="009000B3"/>
    <w:rsid w:val="00900347"/>
    <w:rsid w:val="009012DD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52A5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07FA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A61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63A"/>
    <w:rsid w:val="009F3905"/>
    <w:rsid w:val="009F512D"/>
    <w:rsid w:val="009F5807"/>
    <w:rsid w:val="009F5BE1"/>
    <w:rsid w:val="009F64F4"/>
    <w:rsid w:val="009F72B2"/>
    <w:rsid w:val="009F78AF"/>
    <w:rsid w:val="00A006BA"/>
    <w:rsid w:val="00A007AC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109"/>
    <w:rsid w:val="00A22B03"/>
    <w:rsid w:val="00A23E6E"/>
    <w:rsid w:val="00A24227"/>
    <w:rsid w:val="00A24C21"/>
    <w:rsid w:val="00A25AF9"/>
    <w:rsid w:val="00A2617C"/>
    <w:rsid w:val="00A2655E"/>
    <w:rsid w:val="00A26778"/>
    <w:rsid w:val="00A27DD1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42D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00B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5C04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5A93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0DD0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0C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A7C"/>
    <w:rsid w:val="00B56CF5"/>
    <w:rsid w:val="00B56E80"/>
    <w:rsid w:val="00B6096B"/>
    <w:rsid w:val="00B60A1E"/>
    <w:rsid w:val="00B60A6D"/>
    <w:rsid w:val="00B621A7"/>
    <w:rsid w:val="00B63AFE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1610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174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6E86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33AD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4907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5CB0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3D26"/>
    <w:rsid w:val="00CB429C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81E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0F8F"/>
    <w:rsid w:val="00D71D03"/>
    <w:rsid w:val="00D73717"/>
    <w:rsid w:val="00D7385F"/>
    <w:rsid w:val="00D73B22"/>
    <w:rsid w:val="00D74171"/>
    <w:rsid w:val="00D74294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35CB"/>
    <w:rsid w:val="00D85FBA"/>
    <w:rsid w:val="00D868CB"/>
    <w:rsid w:val="00D87064"/>
    <w:rsid w:val="00D87184"/>
    <w:rsid w:val="00D87402"/>
    <w:rsid w:val="00D87994"/>
    <w:rsid w:val="00D90EA7"/>
    <w:rsid w:val="00D9111F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293F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1696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2F4B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0570"/>
    <w:rsid w:val="00F01C2A"/>
    <w:rsid w:val="00F03356"/>
    <w:rsid w:val="00F0435B"/>
    <w:rsid w:val="00F04C10"/>
    <w:rsid w:val="00F04D03"/>
    <w:rsid w:val="00F07275"/>
    <w:rsid w:val="00F0730B"/>
    <w:rsid w:val="00F1090A"/>
    <w:rsid w:val="00F10F4B"/>
    <w:rsid w:val="00F11034"/>
    <w:rsid w:val="00F114A7"/>
    <w:rsid w:val="00F13913"/>
    <w:rsid w:val="00F13BE5"/>
    <w:rsid w:val="00F15E85"/>
    <w:rsid w:val="00F16C86"/>
    <w:rsid w:val="00F17CFC"/>
    <w:rsid w:val="00F22797"/>
    <w:rsid w:val="00F230F9"/>
    <w:rsid w:val="00F23139"/>
    <w:rsid w:val="00F25C8D"/>
    <w:rsid w:val="00F25DD4"/>
    <w:rsid w:val="00F26190"/>
    <w:rsid w:val="00F26828"/>
    <w:rsid w:val="00F26A3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02B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50DC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5A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709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2026-07-10T01:34:00Z</dcterms:created>
  <dcterms:modified xsi:type="dcterms:W3CDTF">2026-07-10T01:34:00Z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