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B01A49">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1D3A218C" w:rsidR="00CA7296" w:rsidRPr="00AA5ABE" w:rsidRDefault="00CA7296" w:rsidP="00CA7296">
      <w:pPr>
        <w:spacing w:line="312" w:lineRule="auto"/>
        <w:ind w:firstLine="420"/>
        <w:rPr>
          <w:rFonts w:ascii="宋体" w:hAnsi="宋体"/>
        </w:rPr>
      </w:pPr>
      <w:r>
        <w:t>周</w:t>
      </w:r>
      <w:r w:rsidR="00BD1196">
        <w:rPr>
          <w:rFonts w:hint="eastAsia"/>
        </w:rPr>
        <w:t>五</w:t>
      </w:r>
      <w:r>
        <w:rPr>
          <w:rFonts w:hint="eastAsia"/>
        </w:rPr>
        <w:t>（</w:t>
      </w:r>
      <w:r w:rsidR="00051C71">
        <w:t>7</w:t>
      </w:r>
      <w:r>
        <w:rPr>
          <w:rFonts w:hint="eastAsia"/>
        </w:rPr>
        <w:t>月</w:t>
      </w:r>
      <w:r w:rsidR="004A5719">
        <w:rPr>
          <w:rFonts w:hint="eastAsia"/>
        </w:rPr>
        <w:t>1</w:t>
      </w:r>
      <w:r w:rsidR="004A5719">
        <w:t>0</w:t>
      </w:r>
      <w:r>
        <w:rPr>
          <w:rFonts w:hint="eastAsia"/>
        </w:rPr>
        <w:t>日）</w:t>
      </w:r>
      <w:r>
        <w:t>美元兑人民币中间价</w:t>
      </w:r>
      <w:r>
        <w:rPr>
          <w:rFonts w:ascii="宋体" w:hAnsi="宋体" w:cs="宋体"/>
        </w:rPr>
        <w:t>报</w:t>
      </w:r>
      <w:r w:rsidR="002D37D1">
        <w:rPr>
          <w:rFonts w:ascii="宋体" w:hAnsi="宋体" w:cs="宋体"/>
        </w:rPr>
        <w:t>6.</w:t>
      </w:r>
      <w:r w:rsidR="00B01A49">
        <w:rPr>
          <w:rFonts w:ascii="宋体" w:hAnsi="宋体" w:cs="宋体"/>
        </w:rPr>
        <w:t>7989</w:t>
      </w:r>
      <w:r>
        <w:rPr>
          <w:rFonts w:ascii="宋体" w:hAnsi="宋体" w:cs="宋体"/>
        </w:rPr>
        <w:t>，</w:t>
      </w:r>
      <w:r w:rsidR="00E648F1">
        <w:rPr>
          <w:rFonts w:ascii="宋体" w:hAnsi="宋体" w:cs="宋体" w:hint="eastAsia"/>
        </w:rPr>
        <w:t>调</w:t>
      </w:r>
      <w:r w:rsidR="00BA7AB3">
        <w:rPr>
          <w:rFonts w:ascii="宋体" w:hAnsi="宋体" w:cs="宋体" w:hint="eastAsia"/>
        </w:rPr>
        <w:t>贬</w:t>
      </w:r>
      <w:r w:rsidR="00B01A49">
        <w:rPr>
          <w:rFonts w:ascii="宋体" w:hAnsi="宋体" w:cs="宋体" w:hint="eastAsia"/>
        </w:rPr>
        <w:t>4</w:t>
      </w:r>
      <w:r w:rsidR="00B01A49">
        <w:rPr>
          <w:rFonts w:ascii="宋体" w:hAnsi="宋体" w:cs="宋体"/>
        </w:rPr>
        <w:t>7</w:t>
      </w:r>
      <w:r w:rsidR="00E648F1">
        <w:rPr>
          <w:rFonts w:ascii="宋体" w:hAnsi="宋体" w:cs="宋体" w:hint="eastAsia"/>
        </w:rPr>
        <w:t>个基点</w:t>
      </w:r>
      <w:r>
        <w:rPr>
          <w:rFonts w:ascii="宋体" w:hAnsi="宋体" w:cs="宋体" w:hint="eastAsia"/>
        </w:rPr>
        <w:t>，累计调</w:t>
      </w:r>
      <w:r w:rsidR="00051C71">
        <w:rPr>
          <w:rFonts w:ascii="宋体" w:hAnsi="宋体" w:cs="宋体" w:hint="eastAsia"/>
        </w:rPr>
        <w:t>降</w:t>
      </w:r>
      <w:r w:rsidR="00B01A49">
        <w:rPr>
          <w:rFonts w:ascii="宋体" w:hAnsi="宋体" w:cs="宋体" w:hint="eastAsia"/>
        </w:rPr>
        <w:t>5</w:t>
      </w:r>
      <w:r w:rsidR="00B01A49">
        <w:rPr>
          <w:rFonts w:ascii="宋体" w:hAnsi="宋体" w:cs="宋体"/>
        </w:rPr>
        <w:t>8</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B221EB">
        <w:rPr>
          <w:rFonts w:ascii="宋体" w:hAnsi="宋体"/>
        </w:rPr>
        <w:t>9</w:t>
      </w:r>
      <w:r w:rsidRPr="00AA5ABE">
        <w:rPr>
          <w:rFonts w:ascii="宋体" w:hAnsi="宋体" w:hint="eastAsia"/>
        </w:rPr>
        <w:t>收</w:t>
      </w:r>
      <w:r w:rsidR="004D27B0">
        <w:rPr>
          <w:rFonts w:ascii="宋体" w:hAnsi="宋体" w:hint="eastAsia"/>
        </w:rPr>
        <w:t>涨</w:t>
      </w:r>
      <w:r w:rsidR="0051119D">
        <w:rPr>
          <w:rFonts w:ascii="宋体" w:hAnsi="宋体" w:hint="eastAsia"/>
        </w:rPr>
        <w:t>0</w:t>
      </w:r>
      <w:r w:rsidR="0051119D">
        <w:rPr>
          <w:rFonts w:ascii="宋体" w:hAnsi="宋体"/>
        </w:rPr>
        <w:t>.</w:t>
      </w:r>
      <w:r w:rsidR="004D27B0">
        <w:rPr>
          <w:rFonts w:ascii="宋体" w:hAnsi="宋体"/>
        </w:rPr>
        <w:t>0</w:t>
      </w:r>
      <w:r w:rsidR="00827B82">
        <w:rPr>
          <w:rFonts w:ascii="宋体" w:hAnsi="宋体"/>
        </w:rPr>
        <w:t>2</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B221EB">
        <w:rPr>
          <w:rFonts w:ascii="宋体" w:hAnsi="宋体"/>
        </w:rPr>
        <w:t>U</w:t>
      </w:r>
      <w:r w:rsidR="00AA5ABE" w:rsidRPr="00AA5ABE">
        <w:rPr>
          <w:rFonts w:ascii="宋体" w:hAnsi="宋体"/>
        </w:rPr>
        <w:t>26</w:t>
      </w:r>
      <w:r w:rsidRPr="00AA5ABE">
        <w:rPr>
          <w:rFonts w:ascii="宋体" w:hAnsi="宋体" w:hint="eastAsia"/>
        </w:rPr>
        <w:t>收</w:t>
      </w:r>
      <w:r w:rsidR="00827B82">
        <w:rPr>
          <w:rFonts w:ascii="宋体" w:hAnsi="宋体" w:hint="eastAsia"/>
        </w:rPr>
        <w:t>跌</w:t>
      </w:r>
      <w:r w:rsidR="0051119D">
        <w:rPr>
          <w:rFonts w:ascii="宋体" w:hAnsi="宋体" w:hint="eastAsia"/>
        </w:rPr>
        <w:t>0</w:t>
      </w:r>
      <w:r w:rsidR="0051119D">
        <w:rPr>
          <w:rFonts w:ascii="宋体" w:hAnsi="宋体"/>
        </w:rPr>
        <w:t>.</w:t>
      </w:r>
      <w:r w:rsidR="004D27B0">
        <w:rPr>
          <w:rFonts w:ascii="宋体" w:hAnsi="宋体"/>
        </w:rPr>
        <w:t>28</w:t>
      </w:r>
      <w:r w:rsidR="007844B4" w:rsidRPr="00AA5ABE">
        <w:rPr>
          <w:rFonts w:ascii="宋体" w:hAnsi="宋体"/>
        </w:rPr>
        <w:t>%</w:t>
      </w:r>
      <w:r w:rsidRPr="00AA5ABE">
        <w:rPr>
          <w:rFonts w:ascii="宋体" w:hAnsi="宋体" w:hint="eastAsia"/>
        </w:rPr>
        <w:t>。</w:t>
      </w:r>
    </w:p>
    <w:p w14:paraId="2A8620FC" w14:textId="4C3CFFCA"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4D27B0">
        <w:rPr>
          <w:rFonts w:ascii="宋体" w:hAnsi="宋体" w:cs="宋体"/>
        </w:rPr>
        <w:t>784</w:t>
      </w:r>
      <w:r>
        <w:t>，</w:t>
      </w:r>
      <w:r>
        <w:rPr>
          <w:rFonts w:hint="eastAsia"/>
        </w:rPr>
        <w:t>美元兑离岸人民币收报</w:t>
      </w:r>
      <w:r w:rsidR="003A699C">
        <w:t>6</w:t>
      </w:r>
      <w:r w:rsidR="00C870C1">
        <w:t>.</w:t>
      </w:r>
      <w:r w:rsidR="00827B82">
        <w:t>78</w:t>
      </w:r>
      <w:r w:rsidR="004D27B0">
        <w:t>20</w:t>
      </w:r>
      <w:r>
        <w:rPr>
          <w:rFonts w:hint="eastAsia"/>
        </w:rPr>
        <w:t>，在当周</w:t>
      </w:r>
      <w:r>
        <w:t>分别</w:t>
      </w:r>
      <w:r w:rsidR="00827B82">
        <w:rPr>
          <w:rFonts w:hint="eastAsia"/>
        </w:rPr>
        <w:t>下跌</w:t>
      </w:r>
      <w:r w:rsidR="002A6475">
        <w:rPr>
          <w:rFonts w:hint="eastAsia"/>
        </w:rPr>
        <w:t>0</w:t>
      </w:r>
      <w:r w:rsidR="002A6475">
        <w:t>.</w:t>
      </w:r>
      <w:r w:rsidR="004D27B0">
        <w:t>01</w:t>
      </w:r>
      <w:r w:rsidR="002A6475">
        <w:t>%</w:t>
      </w:r>
      <w:r>
        <w:t>和</w:t>
      </w:r>
      <w:r w:rsidR="00827B82">
        <w:rPr>
          <w:rFonts w:hint="eastAsia"/>
        </w:rPr>
        <w:t>下跌</w:t>
      </w:r>
      <w:r w:rsidR="00827B82">
        <w:rPr>
          <w:rFonts w:hint="eastAsia"/>
        </w:rPr>
        <w:t>0</w:t>
      </w:r>
      <w:r w:rsidR="00827B82">
        <w:t>.</w:t>
      </w:r>
      <w:r w:rsidR="004D27B0">
        <w:t>05</w:t>
      </w:r>
      <w:r w:rsidR="002A6475">
        <w:t>%</w:t>
      </w:r>
      <w:r>
        <w:t>。欧元兑人民币报</w:t>
      </w:r>
      <w:r w:rsidR="0051119D">
        <w:t>7</w:t>
      </w:r>
      <w:r w:rsidR="00374735">
        <w:t>.7</w:t>
      </w:r>
      <w:r w:rsidR="004D27B0">
        <w:t>421</w:t>
      </w:r>
      <w:r>
        <w:t>、英镑兑人民币报</w:t>
      </w:r>
      <w:r w:rsidR="00827B82">
        <w:rPr>
          <w:rFonts w:hint="eastAsia"/>
        </w:rPr>
        <w:t>9</w:t>
      </w:r>
      <w:r w:rsidR="00827B82">
        <w:t>.0</w:t>
      </w:r>
      <w:r w:rsidR="004D27B0">
        <w:t>944</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4D27B0">
        <w:t>1893</w:t>
      </w:r>
      <w:r w:rsidR="000959E1">
        <w:rPr>
          <w:rFonts w:hint="eastAsia"/>
        </w:rPr>
        <w:t>、</w:t>
      </w:r>
      <w:r>
        <w:t>澳元兑人民币报</w:t>
      </w:r>
      <w:r>
        <w:t>4</w:t>
      </w:r>
      <w:r w:rsidR="006B50D4">
        <w:t>.</w:t>
      </w:r>
      <w:r w:rsidR="00827B82">
        <w:t>70</w:t>
      </w:r>
      <w:r w:rsidR="004D27B0">
        <w:t>66</w:t>
      </w:r>
      <w:r>
        <w:rPr>
          <w:rFonts w:hint="eastAsia"/>
        </w:rPr>
        <w:t>，在当</w:t>
      </w:r>
      <w:r>
        <w:t>周分别</w:t>
      </w:r>
      <w:r w:rsidR="00827B82">
        <w:rPr>
          <w:rFonts w:hint="eastAsia"/>
        </w:rPr>
        <w:t>跌</w:t>
      </w:r>
      <w:r w:rsidR="005963F1">
        <w:t>0.</w:t>
      </w:r>
      <w:r w:rsidR="004D27B0">
        <w:t>24</w:t>
      </w:r>
      <w:r w:rsidR="002A6475">
        <w:t>%</w:t>
      </w:r>
      <w:r>
        <w:t>、</w:t>
      </w:r>
      <w:r w:rsidR="00D26229">
        <w:rPr>
          <w:rFonts w:hint="eastAsia"/>
        </w:rPr>
        <w:t>涨</w:t>
      </w:r>
      <w:r w:rsidR="00D26229">
        <w:rPr>
          <w:rFonts w:hint="eastAsia"/>
        </w:rPr>
        <w:t>0</w:t>
      </w:r>
      <w:r w:rsidR="00D26229">
        <w:t>.</w:t>
      </w:r>
      <w:r w:rsidR="004D27B0">
        <w:t>37</w:t>
      </w:r>
      <w:r w:rsidR="00DD51CB">
        <w:t>%</w:t>
      </w:r>
      <w:r>
        <w:rPr>
          <w:rFonts w:hint="eastAsia"/>
        </w:rPr>
        <w:t>、</w:t>
      </w:r>
      <w:r w:rsidR="004D27B0">
        <w:rPr>
          <w:rFonts w:hint="eastAsia"/>
        </w:rPr>
        <w:t>跌</w:t>
      </w:r>
      <w:r w:rsidR="005963F1">
        <w:t>0.</w:t>
      </w:r>
      <w:r w:rsidR="004D27B0">
        <w:t>53</w:t>
      </w:r>
      <w:r w:rsidR="002A6475">
        <w:t>%</w:t>
      </w:r>
      <w:r>
        <w:t>和</w:t>
      </w:r>
      <w:r w:rsidR="004D27B0">
        <w:rPr>
          <w:rFonts w:hint="eastAsia"/>
        </w:rPr>
        <w:t>跌</w:t>
      </w:r>
      <w:r w:rsidR="00827B82">
        <w:rPr>
          <w:rFonts w:hint="eastAsia"/>
        </w:rPr>
        <w:t>0</w:t>
      </w:r>
      <w:r w:rsidR="00827B82">
        <w:t>.</w:t>
      </w:r>
      <w:r w:rsidR="004D27B0">
        <w:t>01</w:t>
      </w:r>
      <w:r w:rsidR="00FF18A2">
        <w:t>%</w:t>
      </w:r>
      <w:r>
        <w:t>。</w:t>
      </w:r>
    </w:p>
    <w:p w14:paraId="76AC2601" w14:textId="12993B80"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5B6631" w:rsidRPr="005B6631">
        <w:rPr>
          <w:rFonts w:hint="eastAsia"/>
        </w:rPr>
        <w:t>620</w:t>
      </w:r>
      <w:r w:rsidR="005B6631" w:rsidRPr="005B6631">
        <w:rPr>
          <w:rFonts w:hint="eastAsia"/>
        </w:rPr>
        <w:t>亿元</w:t>
      </w:r>
      <w:r w:rsidR="005B6631" w:rsidRPr="005B6631">
        <w:rPr>
          <w:rFonts w:hint="eastAsia"/>
        </w:rPr>
        <w:t>7</w:t>
      </w:r>
      <w:r w:rsidR="005B6631" w:rsidRPr="005B6631">
        <w:rPr>
          <w:rFonts w:hint="eastAsia"/>
        </w:rPr>
        <w:t>天期逆回购和</w:t>
      </w:r>
      <w:r w:rsidR="005B6631" w:rsidRPr="005B6631">
        <w:rPr>
          <w:rFonts w:hint="eastAsia"/>
        </w:rPr>
        <w:t>10000</w:t>
      </w:r>
      <w:r w:rsidR="005B6631" w:rsidRPr="005B6631">
        <w:rPr>
          <w:rFonts w:hint="eastAsia"/>
        </w:rPr>
        <w:t>亿元买断式逆回购操作，</w:t>
      </w:r>
      <w:r w:rsidR="005B6631">
        <w:rPr>
          <w:rFonts w:hint="eastAsia"/>
        </w:rPr>
        <w:t>当</w:t>
      </w:r>
      <w:r w:rsidR="005B6631" w:rsidRPr="005B6631">
        <w:rPr>
          <w:rFonts w:hint="eastAsia"/>
        </w:rPr>
        <w:t>周央行公开市场有</w:t>
      </w:r>
      <w:r w:rsidR="005B6631" w:rsidRPr="005B6631">
        <w:rPr>
          <w:rFonts w:hint="eastAsia"/>
        </w:rPr>
        <w:t>6785</w:t>
      </w:r>
      <w:r w:rsidR="005B6631" w:rsidRPr="005B6631">
        <w:rPr>
          <w:rFonts w:hint="eastAsia"/>
        </w:rPr>
        <w:t>亿元</w:t>
      </w:r>
      <w:r w:rsidR="005B6631" w:rsidRPr="005B6631">
        <w:rPr>
          <w:rFonts w:hint="eastAsia"/>
        </w:rPr>
        <w:t>7</w:t>
      </w:r>
      <w:r w:rsidR="005B6631" w:rsidRPr="005B6631">
        <w:rPr>
          <w:rFonts w:hint="eastAsia"/>
        </w:rPr>
        <w:t>天期逆回购和</w:t>
      </w:r>
      <w:r w:rsidR="005B6631" w:rsidRPr="005B6631">
        <w:rPr>
          <w:rFonts w:hint="eastAsia"/>
        </w:rPr>
        <w:t>8000</w:t>
      </w:r>
      <w:r w:rsidR="005B6631" w:rsidRPr="005B6631">
        <w:rPr>
          <w:rFonts w:hint="eastAsia"/>
        </w:rPr>
        <w:t>亿元买断式逆回购到期，因此净回笼</w:t>
      </w:r>
      <w:r w:rsidR="005B6631" w:rsidRPr="005B6631">
        <w:rPr>
          <w:rFonts w:hint="eastAsia"/>
        </w:rPr>
        <w:t>4165</w:t>
      </w:r>
      <w:r w:rsidR="005B6631" w:rsidRPr="005B6631">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07813586"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377FA0" w:rsidRPr="00377FA0">
        <w:rPr>
          <w:rFonts w:ascii="宋体" w:hAnsi="宋体" w:hint="eastAsia"/>
        </w:rPr>
        <w:t>《扩大消费“十五五”规划》提出，到2030年，社会消费品零售总额达到60万亿元左右，消费对经济增长的拉动作用进一步增强。《规划》部署了“十五五”时期扩大消费的28条重点任务举措，支持各</w:t>
      </w:r>
      <w:bookmarkStart w:id="0" w:name="_GoBack"/>
      <w:bookmarkEnd w:id="0"/>
      <w:r w:rsidR="00377FA0" w:rsidRPr="00377FA0">
        <w:rPr>
          <w:rFonts w:ascii="宋体" w:hAnsi="宋体" w:hint="eastAsia"/>
        </w:rPr>
        <w:t>地因城施策调整优化房地产政策；持续巩固资本市场稳中向好发展态势。《规划》围绕银发经济、育儿产品和服务、文化和旅游消费、健康消费、汽车消费等方面设置9个专栏，提出相关领域具体落实举措。</w:t>
      </w:r>
    </w:p>
    <w:p w14:paraId="3316BE34" w14:textId="77BA35D7" w:rsidR="00785749" w:rsidRPr="0011314B" w:rsidRDefault="00CA7296" w:rsidP="0011314B">
      <w:pPr>
        <w:spacing w:line="312" w:lineRule="auto"/>
        <w:ind w:firstLine="420"/>
        <w:rPr>
          <w:rFonts w:ascii="宋体" w:hAnsi="宋体"/>
        </w:rPr>
      </w:pPr>
      <w:r w:rsidRPr="0086476E">
        <w:rPr>
          <w:rFonts w:ascii="宋体" w:hAnsi="宋体" w:hint="eastAsia"/>
        </w:rPr>
        <w:t>2、</w:t>
      </w:r>
      <w:r w:rsidR="00377FA0" w:rsidRPr="00377FA0">
        <w:rPr>
          <w:rFonts w:ascii="宋体" w:hAnsi="宋体" w:hint="eastAsia"/>
        </w:rPr>
        <w:t>央行货币政策委员会第二季度例会于7月4日召开。会议研究了下阶段货币政策主要思路，建议发挥增量政策和存量政策集成效应，增强政策前瞻性灵活性针对性，根据国内外经济金融形势和金融市场运行情况，把握好政策实施的力度、节奏和时机。会议指出，要持续做好支持民营经济发展壮大的金融服务。维护金融市场稳定运行。</w:t>
      </w:r>
    </w:p>
    <w:p w14:paraId="0E3CF4D4" w14:textId="7F2D3674"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377FA0" w:rsidRPr="00377FA0">
        <w:rPr>
          <w:rFonts w:ascii="宋体" w:hAnsi="宋体" w:hint="eastAsia"/>
        </w:rPr>
        <w:t>美国总统特朗普在社交媒体平台发文称，将重新实施“针对伊朗的封锁”，该措施仅针对伊朗船只或客户，限制其进出霍尔木兹海峡，其他所有国家均可公平、公开地使用该海峡。特朗普还表示，美国将针对所有经由此处运输的货物收取20%的费用，相关流程与部</w:t>
      </w:r>
      <w:r w:rsidR="00377FA0" w:rsidRPr="00377FA0">
        <w:rPr>
          <w:rFonts w:ascii="宋体" w:hAnsi="宋体" w:hint="eastAsia"/>
        </w:rPr>
        <w:lastRenderedPageBreak/>
        <w:t>署工作将立即启动。</w:t>
      </w:r>
    </w:p>
    <w:p w14:paraId="630B9579" w14:textId="3DE08C3D" w:rsidR="00BC01B8" w:rsidRPr="00F44D25" w:rsidRDefault="00BC01B8" w:rsidP="001F0839">
      <w:pPr>
        <w:spacing w:line="312" w:lineRule="auto"/>
        <w:ind w:firstLine="420"/>
        <w:rPr>
          <w:rFonts w:ascii="宋体" w:hAnsi="宋体"/>
        </w:rPr>
      </w:pPr>
      <w:r w:rsidRPr="0086476E">
        <w:rPr>
          <w:rFonts w:ascii="宋体" w:hAnsi="宋体" w:hint="eastAsia"/>
        </w:rPr>
        <w:t>4、</w:t>
      </w:r>
      <w:r w:rsidR="00377FA0" w:rsidRPr="00377FA0">
        <w:rPr>
          <w:rFonts w:ascii="宋体" w:hAnsi="宋体" w:hint="eastAsia"/>
        </w:rPr>
        <w:t>美联储发布提交给国会的7月《货币政策报告》，重申决策者将致力于实现价格稳定。报告指出，今年以来，受伊朗战争推高能源价格影响，通胀进一步攀升。美联储表示，将准备动用所有政策工具，实现充分就业和价格稳定目标，尤其是在联邦基金利率受有效下限约束时。</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109EC890" w:rsidR="00CA7296" w:rsidRDefault="00051C71" w:rsidP="00CA7296">
      <w:pPr>
        <w:spacing w:beforeLines="50" w:before="156" w:line="312" w:lineRule="auto"/>
        <w:jc w:val="center"/>
        <w:rPr>
          <w:rFonts w:ascii="微软雅黑" w:eastAsia="微软雅黑" w:hAnsi="微软雅黑"/>
          <w:b/>
          <w:bCs/>
          <w:sz w:val="28"/>
          <w:szCs w:val="28"/>
        </w:rPr>
      </w:pPr>
      <w:r>
        <w:rPr>
          <w:noProof/>
        </w:rPr>
        <w:t xml:space="preserve"> </w:t>
      </w:r>
      <w:r w:rsidR="00B01A49">
        <w:rPr>
          <w:noProof/>
        </w:rPr>
        <w:drawing>
          <wp:inline distT="0" distB="0" distL="0" distR="0" wp14:anchorId="36810704" wp14:editId="7B6C201B">
            <wp:extent cx="3409950" cy="1918960"/>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7036" cy="1934203"/>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12E5C217" w:rsidR="00CA7296" w:rsidRDefault="004D27B0" w:rsidP="00CA7296">
      <w:pPr>
        <w:spacing w:line="360" w:lineRule="auto"/>
        <w:jc w:val="center"/>
        <w:rPr>
          <w:rFonts w:ascii="宋体" w:hAnsi="宋体"/>
          <w:sz w:val="18"/>
          <w:szCs w:val="18"/>
        </w:rPr>
      </w:pPr>
      <w:r>
        <w:rPr>
          <w:noProof/>
        </w:rPr>
        <w:drawing>
          <wp:inline distT="0" distB="0" distL="0" distR="0" wp14:anchorId="13539D70" wp14:editId="4E36A00B">
            <wp:extent cx="5038725" cy="3292218"/>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4099" cy="3295729"/>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30541C2B" w:rsidR="00CA7296" w:rsidRPr="00AB4AA6" w:rsidRDefault="00B01A49" w:rsidP="00AB4AA6">
      <w:pPr>
        <w:jc w:val="center"/>
      </w:pPr>
      <w:r>
        <w:rPr>
          <w:noProof/>
        </w:rPr>
        <w:drawing>
          <wp:inline distT="0" distB="0" distL="0" distR="0" wp14:anchorId="25C977E9" wp14:editId="38B1C774">
            <wp:extent cx="3409950" cy="201990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4607" cy="2052284"/>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DCD688A" w:rsidR="00CA7296" w:rsidRDefault="004D27B0" w:rsidP="00CA7296">
      <w:pPr>
        <w:jc w:val="center"/>
      </w:pPr>
      <w:r>
        <w:rPr>
          <w:noProof/>
        </w:rPr>
        <w:drawing>
          <wp:inline distT="0" distB="0" distL="0" distR="0" wp14:anchorId="0C303C45" wp14:editId="1535B6D4">
            <wp:extent cx="5019675" cy="24796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3223" cy="2481372"/>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5A652B9" w:rsidR="00CA7296" w:rsidRDefault="00B01A49" w:rsidP="00CA7296">
      <w:pPr>
        <w:jc w:val="center"/>
      </w:pPr>
      <w:r>
        <w:rPr>
          <w:noProof/>
        </w:rPr>
        <w:drawing>
          <wp:inline distT="0" distB="0" distL="0" distR="0" wp14:anchorId="68C06EBA" wp14:editId="762C4F82">
            <wp:extent cx="3274115" cy="191452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13906" cy="1937792"/>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73D77C6">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736438C" w14:textId="77777777" w:rsidR="00B01A49" w:rsidRDefault="00B01A49" w:rsidP="00BD18FF">
      <w:pPr>
        <w:spacing w:line="312" w:lineRule="auto"/>
        <w:ind w:firstLine="420"/>
        <w:rPr>
          <w:rFonts w:ascii="宋体" w:hAnsi="宋体" w:cs="宋体"/>
        </w:rPr>
      </w:pPr>
      <w:r w:rsidRPr="00B01A49">
        <w:rPr>
          <w:rFonts w:ascii="宋体" w:hAnsi="宋体" w:cs="宋体" w:hint="eastAsia"/>
        </w:rPr>
        <w:t>美国6月非农就业新增5.7万人，明显低于市场预期，4、5月数据合计下修7.4万人，显示劳动力市场招聘动能较前期明显降温。非农新增就业明显放缓，续请失业金人数回升，劳动力市场需求边际降温。美联储6月会议纪要淡化降息指引，同时保留加息与降息两种可能，政策取向进一步转向数据依赖模式。地缘方面，美伊谅解备忘录面临破裂，美方恢复军事打击及海上封锁威胁，推动油价、通胀预期与9月加息概率阶段性回升，为美元及美债收益率提供支撑，预计短期美元维持高位震荡。</w:t>
      </w:r>
    </w:p>
    <w:p w14:paraId="3A7DC26E" w14:textId="289FD835" w:rsidR="00BD18FF" w:rsidRPr="00BD18FF" w:rsidRDefault="00B01A49" w:rsidP="00BD18FF">
      <w:pPr>
        <w:spacing w:line="312" w:lineRule="auto"/>
        <w:ind w:firstLine="420"/>
        <w:rPr>
          <w:rFonts w:ascii="宋体" w:hAnsi="宋体" w:cs="宋体"/>
        </w:rPr>
      </w:pPr>
      <w:r w:rsidRPr="00B01A49">
        <w:rPr>
          <w:rFonts w:ascii="宋体" w:hAnsi="宋体" w:cs="宋体" w:hint="eastAsia"/>
        </w:rPr>
        <w:t>国内端，6月我国官方制造业PMI录得50.3，小幅扩张，反映制造业整体运行稳定，扩张动能有所强化，供需两端双双转为扩张，但结构性分化加剧，新动能与传统行业、不同规模企业走势延续背离。新订单指数为51.2，新出口订单为50.1，两者分别回升1.3、1.5个百分点至扩张线，内外需韧性均有体现，但出厂价格下降的同时购进价格持续上涨，中下游行业利润受到较大幅的挤压。5月我国出口同比19.4%，外贸水平再度超预期上行，全球制造业韧性强叠加输入型通胀共同助推价格端大幅上涨，量减价增特征显著。从中长期看，全球经济下行压力大、红海绕行或导致下半年出口增速承压。需要注意的事，美伊谈判一波三折，人民币兑美元汇率波动料持续加剧。</w:t>
      </w:r>
    </w:p>
    <w:p w14:paraId="0598CD1B" w14:textId="77777777" w:rsidR="00BD18FF" w:rsidRPr="00BD18FF" w:rsidRDefault="00BD18FF" w:rsidP="00BD18FF">
      <w:pPr>
        <w:spacing w:line="312" w:lineRule="auto"/>
        <w:ind w:firstLine="420"/>
        <w:rPr>
          <w:rFonts w:ascii="宋体" w:hAnsi="宋体" w:cs="宋体"/>
        </w:rPr>
      </w:pP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A460" w14:textId="77777777" w:rsidR="00907F42" w:rsidRDefault="00907F42" w:rsidP="00127060">
      <w:r>
        <w:separator/>
      </w:r>
    </w:p>
  </w:endnote>
  <w:endnote w:type="continuationSeparator" w:id="0">
    <w:p w14:paraId="57102D73" w14:textId="77777777" w:rsidR="00907F42" w:rsidRDefault="00907F42"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929A6" w14:textId="77777777" w:rsidR="00907F42" w:rsidRDefault="00907F42" w:rsidP="00127060">
      <w:r>
        <w:separator/>
      </w:r>
    </w:p>
  </w:footnote>
  <w:footnote w:type="continuationSeparator" w:id="0">
    <w:p w14:paraId="4C8A0851" w14:textId="77777777" w:rsidR="00907F42" w:rsidRDefault="00907F42"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3127"/>
    <w:rsid w:val="000447DD"/>
    <w:rsid w:val="0004620E"/>
    <w:rsid w:val="00046EC5"/>
    <w:rsid w:val="0005052B"/>
    <w:rsid w:val="00051C71"/>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17E8"/>
    <w:rsid w:val="00103A47"/>
    <w:rsid w:val="00112C39"/>
    <w:rsid w:val="0011314B"/>
    <w:rsid w:val="00113D9E"/>
    <w:rsid w:val="00115730"/>
    <w:rsid w:val="0012070F"/>
    <w:rsid w:val="00125BEA"/>
    <w:rsid w:val="00127060"/>
    <w:rsid w:val="00133B4F"/>
    <w:rsid w:val="001359F0"/>
    <w:rsid w:val="001407AC"/>
    <w:rsid w:val="00140BEA"/>
    <w:rsid w:val="001431CC"/>
    <w:rsid w:val="001454F3"/>
    <w:rsid w:val="001470E8"/>
    <w:rsid w:val="00150521"/>
    <w:rsid w:val="00153427"/>
    <w:rsid w:val="00154921"/>
    <w:rsid w:val="001564E1"/>
    <w:rsid w:val="0015671A"/>
    <w:rsid w:val="001573DE"/>
    <w:rsid w:val="0016345C"/>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A6CE8"/>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4A4E"/>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4735"/>
    <w:rsid w:val="00377B85"/>
    <w:rsid w:val="00377FA0"/>
    <w:rsid w:val="0038253A"/>
    <w:rsid w:val="003867A4"/>
    <w:rsid w:val="003903E1"/>
    <w:rsid w:val="00392306"/>
    <w:rsid w:val="00394B23"/>
    <w:rsid w:val="00397D8C"/>
    <w:rsid w:val="003A062A"/>
    <w:rsid w:val="003A2616"/>
    <w:rsid w:val="003A2745"/>
    <w:rsid w:val="003A4CF3"/>
    <w:rsid w:val="003A699C"/>
    <w:rsid w:val="003A7F2C"/>
    <w:rsid w:val="003B2BD3"/>
    <w:rsid w:val="003B3A79"/>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719"/>
    <w:rsid w:val="004A5DEA"/>
    <w:rsid w:val="004A618A"/>
    <w:rsid w:val="004A70F3"/>
    <w:rsid w:val="004B1822"/>
    <w:rsid w:val="004B3117"/>
    <w:rsid w:val="004B4636"/>
    <w:rsid w:val="004B569D"/>
    <w:rsid w:val="004B688C"/>
    <w:rsid w:val="004B6B0F"/>
    <w:rsid w:val="004B7564"/>
    <w:rsid w:val="004C0BD3"/>
    <w:rsid w:val="004C131F"/>
    <w:rsid w:val="004C1D9A"/>
    <w:rsid w:val="004C243D"/>
    <w:rsid w:val="004D1771"/>
    <w:rsid w:val="004D27B0"/>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1601"/>
    <w:rsid w:val="0055205C"/>
    <w:rsid w:val="00567A01"/>
    <w:rsid w:val="005717C4"/>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631"/>
    <w:rsid w:val="005B6BB0"/>
    <w:rsid w:val="005C4837"/>
    <w:rsid w:val="005D13DB"/>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D62AF"/>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6A7"/>
    <w:rsid w:val="007D4B15"/>
    <w:rsid w:val="007D4C2E"/>
    <w:rsid w:val="007D5617"/>
    <w:rsid w:val="007D60FF"/>
    <w:rsid w:val="007D68B7"/>
    <w:rsid w:val="007E1257"/>
    <w:rsid w:val="007E4414"/>
    <w:rsid w:val="007F0835"/>
    <w:rsid w:val="007F2785"/>
    <w:rsid w:val="007F2A98"/>
    <w:rsid w:val="007F6420"/>
    <w:rsid w:val="00800E28"/>
    <w:rsid w:val="008043B5"/>
    <w:rsid w:val="00804540"/>
    <w:rsid w:val="00813A5E"/>
    <w:rsid w:val="00814C88"/>
    <w:rsid w:val="00821138"/>
    <w:rsid w:val="0082289B"/>
    <w:rsid w:val="008264F8"/>
    <w:rsid w:val="00827B82"/>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527"/>
    <w:rsid w:val="008A2B9D"/>
    <w:rsid w:val="008A4C3C"/>
    <w:rsid w:val="008B0DD1"/>
    <w:rsid w:val="008B325C"/>
    <w:rsid w:val="008B334F"/>
    <w:rsid w:val="008B4D2B"/>
    <w:rsid w:val="008B5B8F"/>
    <w:rsid w:val="008B5D1D"/>
    <w:rsid w:val="008B7950"/>
    <w:rsid w:val="008C0A62"/>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07F42"/>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2DD1"/>
    <w:rsid w:val="009E53EE"/>
    <w:rsid w:val="009E58E4"/>
    <w:rsid w:val="009F2447"/>
    <w:rsid w:val="009F3358"/>
    <w:rsid w:val="009F3A72"/>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529E"/>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217E"/>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01A49"/>
    <w:rsid w:val="00B109A3"/>
    <w:rsid w:val="00B11E90"/>
    <w:rsid w:val="00B15514"/>
    <w:rsid w:val="00B158F9"/>
    <w:rsid w:val="00B17CED"/>
    <w:rsid w:val="00B20497"/>
    <w:rsid w:val="00B21983"/>
    <w:rsid w:val="00B21F18"/>
    <w:rsid w:val="00B221EB"/>
    <w:rsid w:val="00B25A83"/>
    <w:rsid w:val="00B26225"/>
    <w:rsid w:val="00B32E5A"/>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AB3"/>
    <w:rsid w:val="00BA7B2C"/>
    <w:rsid w:val="00BA7C59"/>
    <w:rsid w:val="00BB52D1"/>
    <w:rsid w:val="00BB573D"/>
    <w:rsid w:val="00BB7F54"/>
    <w:rsid w:val="00BC01B8"/>
    <w:rsid w:val="00BC1938"/>
    <w:rsid w:val="00BC2F10"/>
    <w:rsid w:val="00BC610A"/>
    <w:rsid w:val="00BD0804"/>
    <w:rsid w:val="00BD1196"/>
    <w:rsid w:val="00BD18FF"/>
    <w:rsid w:val="00BD27C2"/>
    <w:rsid w:val="00BD65EE"/>
    <w:rsid w:val="00BD7EBC"/>
    <w:rsid w:val="00BE058D"/>
    <w:rsid w:val="00BE253B"/>
    <w:rsid w:val="00BE2780"/>
    <w:rsid w:val="00BE728D"/>
    <w:rsid w:val="00BE7495"/>
    <w:rsid w:val="00BE7F8F"/>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203A"/>
    <w:rsid w:val="00C72060"/>
    <w:rsid w:val="00C74CBC"/>
    <w:rsid w:val="00C762DA"/>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6229"/>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B7476"/>
    <w:rsid w:val="00DC2BE9"/>
    <w:rsid w:val="00DC342B"/>
    <w:rsid w:val="00DC373F"/>
    <w:rsid w:val="00DC6E76"/>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0AF1"/>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584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2531"/>
    <w:rsid w:val="00FA33ED"/>
    <w:rsid w:val="00FA6D95"/>
    <w:rsid w:val="00FA7DD2"/>
    <w:rsid w:val="00FB693A"/>
    <w:rsid w:val="00FB6956"/>
    <w:rsid w:val="00FB7024"/>
    <w:rsid w:val="00FB72A5"/>
    <w:rsid w:val="00FC30F3"/>
    <w:rsid w:val="00FD29C8"/>
    <w:rsid w:val="00FD467E"/>
    <w:rsid w:val="00FD78AF"/>
    <w:rsid w:val="00FE13DF"/>
    <w:rsid w:val="00FE51DD"/>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98486">
      <w:bodyDiv w:val="1"/>
      <w:marLeft w:val="0"/>
      <w:marRight w:val="0"/>
      <w:marTop w:val="0"/>
      <w:marBottom w:val="0"/>
      <w:divBdr>
        <w:top w:val="none" w:sz="0" w:space="0" w:color="auto"/>
        <w:left w:val="none" w:sz="0" w:space="0" w:color="auto"/>
        <w:bottom w:val="none" w:sz="0" w:space="0" w:color="auto"/>
        <w:right w:val="none" w:sz="0" w:space="0" w:color="auto"/>
      </w:divBdr>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46216</c:v>
                </c:pt>
                <c:pt idx="1">
                  <c:v>46215</c:v>
                </c:pt>
                <c:pt idx="2">
                  <c:v>46214</c:v>
                </c:pt>
                <c:pt idx="3">
                  <c:v>46213</c:v>
                </c:pt>
                <c:pt idx="4">
                  <c:v>46212</c:v>
                </c:pt>
                <c:pt idx="5">
                  <c:v>46211</c:v>
                </c:pt>
                <c:pt idx="6">
                  <c:v>46210</c:v>
                </c:pt>
              </c:numCache>
            </c:numRef>
          </c:cat>
          <c:val>
            <c:numRef>
              <c:f>'价差 IFIND'!$D$4:$D$10</c:f>
              <c:numCache>
                <c:formatCode>#,##0.0000_ </c:formatCode>
                <c:ptCount val="7"/>
                <c:pt idx="0">
                  <c:v>-3.9620831500810638E-3</c:v>
                </c:pt>
                <c:pt idx="1">
                  <c:v>4.9960306098899565E-3</c:v>
                </c:pt>
                <c:pt idx="2">
                  <c:v>8.5526206110309033E-4</c:v>
                </c:pt>
                <c:pt idx="3">
                  <c:v>2.2603009315096401E-3</c:v>
                </c:pt>
                <c:pt idx="4">
                  <c:v>-1.5804317838208348E-3</c:v>
                </c:pt>
                <c:pt idx="5">
                  <c:v>-1.2847528291503707E-2</c:v>
                </c:pt>
                <c:pt idx="6">
                  <c:v>-5.9854703368005246E-3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46216</c:v>
                </c:pt>
                <c:pt idx="1">
                  <c:v>46215</c:v>
                </c:pt>
                <c:pt idx="2">
                  <c:v>46214</c:v>
                </c:pt>
                <c:pt idx="3">
                  <c:v>46213</c:v>
                </c:pt>
                <c:pt idx="4">
                  <c:v>46212</c:v>
                </c:pt>
                <c:pt idx="5">
                  <c:v>46211</c:v>
                </c:pt>
                <c:pt idx="6">
                  <c:v>46210</c:v>
                </c:pt>
              </c:numCache>
            </c:numRef>
          </c:cat>
          <c:val>
            <c:numRef>
              <c:f>'价差 IFIND'!$B$4:$B$10</c:f>
              <c:numCache>
                <c:formatCode>#,##0.0000_ </c:formatCode>
                <c:ptCount val="7"/>
                <c:pt idx="0">
                  <c:v>6.7797328462851203</c:v>
                </c:pt>
                <c:pt idx="1">
                  <c:v>6.7815363813671574</c:v>
                </c:pt>
                <c:pt idx="2">
                  <c:v>6.7773554611834683</c:v>
                </c:pt>
                <c:pt idx="3">
                  <c:v>6.7804654262656507</c:v>
                </c:pt>
                <c:pt idx="4">
                  <c:v>6.7953324972234377</c:v>
                </c:pt>
                <c:pt idx="5">
                  <c:v>6.7999823582310102</c:v>
                </c:pt>
                <c:pt idx="6">
                  <c:v>6.795765879270558</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46216</c:v>
                </c:pt>
                <c:pt idx="1">
                  <c:v>46215</c:v>
                </c:pt>
                <c:pt idx="2">
                  <c:v>46214</c:v>
                </c:pt>
                <c:pt idx="3">
                  <c:v>46213</c:v>
                </c:pt>
                <c:pt idx="4">
                  <c:v>46212</c:v>
                </c:pt>
                <c:pt idx="5">
                  <c:v>46211</c:v>
                </c:pt>
                <c:pt idx="6">
                  <c:v>46210</c:v>
                </c:pt>
              </c:numCache>
            </c:numRef>
          </c:cat>
          <c:val>
            <c:numRef>
              <c:f>'价差 IFIND'!$C$4:$C$10</c:f>
              <c:numCache>
                <c:formatCode>#,##0.0000_ </c:formatCode>
                <c:ptCount val="7"/>
                <c:pt idx="0">
                  <c:v>6.7836949294352014</c:v>
                </c:pt>
                <c:pt idx="1">
                  <c:v>6.7765403507572675</c:v>
                </c:pt>
                <c:pt idx="2">
                  <c:v>6.7765001991223652</c:v>
                </c:pt>
                <c:pt idx="3">
                  <c:v>6.7782051253341411</c:v>
                </c:pt>
                <c:pt idx="4">
                  <c:v>6.7969129290072585</c:v>
                </c:pt>
                <c:pt idx="5">
                  <c:v>6.8128298865225139</c:v>
                </c:pt>
                <c:pt idx="6">
                  <c:v>6.8017513496073585</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5E4E-6D4D-4F06-BBFA-08CB7976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cp:revision>
  <cp:lastPrinted>2024-12-24T02:37:00Z</cp:lastPrinted>
  <dcterms:created xsi:type="dcterms:W3CDTF">2026-07-07T01:32:00Z</dcterms:created>
  <dcterms:modified xsi:type="dcterms:W3CDTF">2026-07-14T01:00:00Z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