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47FA26D4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5F3A7A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2E37FC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BA4788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Pr="00ED4A18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</w:t>
      </w:r>
      <w:r w:rsidRPr="001A18B6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场综述</w:t>
      </w:r>
    </w:p>
    <w:p w14:paraId="7EEFB9F4" w14:textId="207DE67F" w:rsidR="007B3E0B" w:rsidRDefault="00BA4788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A4788">
        <w:rPr>
          <w:rFonts w:ascii="微软雅黑" w:eastAsia="微软雅黑" w:hAnsi="微软雅黑" w:cs="微软雅黑"/>
          <w:spacing w:val="12"/>
          <w:lang w:eastAsia="zh-CN"/>
        </w:rPr>
        <w:t>美国三大股指全线收涨，道指涨0.02%报52508.27点，</w:t>
      </w:r>
      <w:proofErr w:type="gramStart"/>
      <w:r w:rsidRPr="00BA4788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BA4788">
        <w:rPr>
          <w:rFonts w:ascii="微软雅黑" w:eastAsia="微软雅黑" w:hAnsi="微软雅黑" w:cs="微软雅黑"/>
          <w:spacing w:val="12"/>
          <w:lang w:eastAsia="zh-CN"/>
        </w:rPr>
        <w:t>500指数涨0.38%报7543.59点，</w:t>
      </w:r>
      <w:proofErr w:type="gramStart"/>
      <w:r w:rsidRPr="00BA4788">
        <w:rPr>
          <w:rFonts w:ascii="微软雅黑" w:eastAsia="微软雅黑" w:hAnsi="微软雅黑" w:cs="微软雅黑"/>
          <w:spacing w:val="12"/>
          <w:lang w:eastAsia="zh-CN"/>
        </w:rPr>
        <w:t>纳指涨</w:t>
      </w:r>
      <w:proofErr w:type="gramEnd"/>
      <w:r w:rsidRPr="00BA4788">
        <w:rPr>
          <w:rFonts w:ascii="微软雅黑" w:eastAsia="微软雅黑" w:hAnsi="微软雅黑" w:cs="微软雅黑"/>
          <w:spacing w:val="12"/>
          <w:lang w:eastAsia="zh-CN"/>
        </w:rPr>
        <w:t>0.9%报26107.01点。美元指数跌0.37%报100.93，非美货币多数上涨，欧元兑美元涨0.34%报1.1419，英镑兑美元涨0.33%报1.3390，澳元兑美元涨0.83%报0.6975，美元兑日元跌0.15%报162.2190，美元兑加元跌0.67%报1.4061，美元兑</w:t>
      </w:r>
      <w:proofErr w:type="gramStart"/>
      <w:r w:rsidRPr="00BA4788">
        <w:rPr>
          <w:rFonts w:ascii="微软雅黑" w:eastAsia="微软雅黑" w:hAnsi="微软雅黑" w:cs="微软雅黑"/>
          <w:spacing w:val="12"/>
          <w:lang w:eastAsia="zh-CN"/>
        </w:rPr>
        <w:t>瑞郎跌</w:t>
      </w:r>
      <w:proofErr w:type="gramEnd"/>
      <w:r w:rsidRPr="00BA4788">
        <w:rPr>
          <w:rFonts w:ascii="微软雅黑" w:eastAsia="微软雅黑" w:hAnsi="微软雅黑" w:cs="微软雅黑"/>
          <w:spacing w:val="12"/>
          <w:lang w:eastAsia="zh-CN"/>
        </w:rPr>
        <w:t>0.68%报0.8092，离岸人民币对美元涨134个基点报6.7722。国际贵金属期货普遍收涨，COMEX黄金期货涨1.31%报4058.30美元/盎司，COMEX白银期货涨1.84%报59.04美元/盎司。</w:t>
      </w:r>
      <w:r w:rsidR="00900347" w:rsidRPr="008057BB">
        <w:rPr>
          <w:rFonts w:ascii="微软雅黑" w:eastAsia="微软雅黑" w:hAnsi="微软雅黑" w:cs="微软雅黑" w:hint="eastAsia"/>
          <w:spacing w:val="12"/>
          <w:lang w:eastAsia="zh-CN"/>
        </w:rPr>
        <w:t>I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CE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涨1.15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8D5F7A" w:rsidRPr="002E37FC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4.92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2E37FC" w:rsidRPr="002E37FC">
        <w:rPr>
          <w:rFonts w:ascii="微软雅黑" w:eastAsia="微软雅黑" w:hAnsi="微软雅黑" w:cs="微软雅黑" w:hint="eastAsia"/>
          <w:spacing w:val="12"/>
          <w:lang w:eastAsia="zh-CN"/>
        </w:rPr>
        <w:t>跌0.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70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14988" w:rsidRPr="002E37FC">
        <w:rPr>
          <w:rFonts w:ascii="微软雅黑" w:eastAsia="微软雅黑" w:hAnsi="微软雅黑" w:cs="微软雅黑" w:hint="eastAsia"/>
          <w:spacing w:val="12"/>
          <w:lang w:eastAsia="zh-CN"/>
        </w:rPr>
        <w:t>8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0.94</w:t>
      </w:r>
      <w:r w:rsidR="00E43653" w:rsidRPr="002E37FC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CB3D26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56F2B472" w:rsidR="00557736" w:rsidRPr="0022448B" w:rsidRDefault="00BA4788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21E9C76B" wp14:editId="0489A96D">
            <wp:extent cx="5939916" cy="3914595"/>
            <wp:effectExtent l="0" t="0" r="3810" b="0"/>
            <wp:docPr id="18118785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73" cy="391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4102727" w14:textId="63E2E8F7" w:rsidR="00863E18" w:rsidRPr="00BA4788" w:rsidRDefault="00863E18" w:rsidP="00D9111F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A4788" w:rsidRPr="00BA4788">
        <w:rPr>
          <w:rFonts w:ascii="微软雅黑" w:eastAsia="微软雅黑" w:hAnsi="微软雅黑" w:cs="微软雅黑"/>
          <w:color w:val="auto"/>
          <w:spacing w:val="4"/>
          <w:lang w:eastAsia="zh-CN"/>
        </w:rPr>
        <w:t>美军7月14日继续对伊朗多地发动打击行动，伊朗则继续针对美军基地实施打击。双方针对霍尔木兹海峡控制权的博弈仍在持续。美国总统特朗普称，将通过海湾各国与美国达成贸易和投资协议，取代对霍尔木兹海峡货运收取20%费用。美国将对伊朗实施“全面封锁”，霍尔木兹海峡对除伊朗以外的所有船只开放。伊朗军方表示，在霍尔木兹海峡问题上绝不让步。伊朗议会提出有关霍尔木兹海峡安全的法案。</w:t>
      </w:r>
      <w:r w:rsidRPr="00BA478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4D59D47" w14:textId="2588B0C9" w:rsidR="002E37FC" w:rsidRPr="00BA4788" w:rsidRDefault="002E37FC" w:rsidP="002E37FC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BA478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A4788" w:rsidRPr="00BA4788">
        <w:rPr>
          <w:rFonts w:ascii="微软雅黑" w:eastAsia="微软雅黑" w:hAnsi="微软雅黑" w:cs="微软雅黑"/>
          <w:color w:val="auto"/>
          <w:spacing w:val="4"/>
          <w:lang w:eastAsia="zh-CN"/>
        </w:rPr>
        <w:t>凯文·沃什就任美联储主席后首次出席国会半年度听证会。沃什展现出强硬的“鹰派”立场，直言对持续五年的高通胀“零容忍”，并明确驳斥因6月CPI环比下滑而认为抗通胀“大功告成”的市场观点。沃</w:t>
      </w:r>
      <w:r w:rsidR="00BA4788" w:rsidRPr="00BA4788">
        <w:rPr>
          <w:rFonts w:ascii="微软雅黑" w:eastAsia="微软雅黑" w:hAnsi="微软雅黑" w:cs="微软雅黑"/>
          <w:color w:val="auto"/>
          <w:spacing w:val="4"/>
          <w:lang w:eastAsia="zh-CN"/>
        </w:rPr>
        <w:lastRenderedPageBreak/>
        <w:t>什宣布，美联储将成立五个工作组，“从一张白纸开始”全面审查现行政策框架。面对特朗普政府降息施压，沃什拒绝提供前瞻性指引，强调美联储将坚持依据经济数据独立决策。</w:t>
      </w:r>
      <w:r w:rsidRPr="00BA478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B260075" w14:textId="01BBC4EB" w:rsidR="00BA4788" w:rsidRPr="00BA4788" w:rsidRDefault="00BA4788" w:rsidP="00BA4788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BA478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BA4788">
        <w:rPr>
          <w:rFonts w:ascii="微软雅黑" w:eastAsia="微软雅黑" w:hAnsi="微软雅黑" w:cs="微软雅黑"/>
          <w:color w:val="auto"/>
          <w:spacing w:val="4"/>
          <w:lang w:eastAsia="zh-CN"/>
        </w:rPr>
        <w:t>美国纽约州州长签署行政令，实施为期一年的大型数据中心建设禁令，成为全美首个实施该类禁令的州。禁令适用于用电规模达到或超过50兆瓦的数据中心。另外，纽约州将推动立法取消大型数据中心目前享有的销售税减免政策。</w:t>
      </w:r>
      <w:r w:rsidRPr="00BA478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4234192" w14:textId="7AD5210C" w:rsidR="00432248" w:rsidRPr="00432248" w:rsidRDefault="00432248" w:rsidP="00432248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BA478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A4788" w:rsidRPr="00BA4788">
        <w:rPr>
          <w:rFonts w:ascii="微软雅黑" w:eastAsia="微软雅黑" w:hAnsi="微软雅黑" w:cs="微软雅黑"/>
          <w:color w:val="auto"/>
          <w:spacing w:val="4"/>
          <w:lang w:eastAsia="zh-CN"/>
        </w:rPr>
        <w:t>美国6月通胀涨幅超预期回落。美国劳工统计局公布数据显示，美国6月CPI同比上涨3.5%，核心CPI上涨2.6%，较前值明显回落且低于市场预期。美国6月CPI环比下滑0.4%，为六年来首次环比下降，且降幅远超市场预期的0.1%。数据公布后，交易员将美联储加息押注推迟至10月。</w:t>
      </w:r>
      <w:r w:rsidRPr="0043224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2591AE" w14:textId="77777777" w:rsidR="00540161" w:rsidRDefault="00540161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E43653" w14:paraId="1D7AD70B" w14:textId="77777777" w:rsidTr="00E43653">
        <w:trPr>
          <w:trHeight w:val="837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bookmarkStart w:id="0" w:name="_Hlk185920439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时间</w:t>
            </w:r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数据/事件</w:t>
            </w:r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BA4788" w:rsidRPr="00491C4D" w14:paraId="670C2A81" w14:textId="77777777" w:rsidTr="00E43653">
        <w:trPr>
          <w:trHeight w:val="620"/>
        </w:trPr>
        <w:tc>
          <w:tcPr>
            <w:tcW w:w="1701" w:type="dxa"/>
          </w:tcPr>
          <w:bookmarkEnd w:id="0"/>
          <w:p w14:paraId="5CD7C5B5" w14:textId="3002D41D" w:rsidR="00BA4788" w:rsidRPr="00432248" w:rsidRDefault="00BA4788" w:rsidP="00BA478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A478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2026/7/15</w:t>
            </w:r>
          </w:p>
        </w:tc>
        <w:tc>
          <w:tcPr>
            <w:tcW w:w="1314" w:type="dxa"/>
          </w:tcPr>
          <w:p w14:paraId="5CC8A079" w14:textId="77777777" w:rsidR="00BA4788" w:rsidRPr="00432248" w:rsidRDefault="00BA4788" w:rsidP="00BA478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432248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10:00</w:t>
            </w:r>
          </w:p>
        </w:tc>
        <w:tc>
          <w:tcPr>
            <w:tcW w:w="6344" w:type="dxa"/>
          </w:tcPr>
          <w:p w14:paraId="17C12098" w14:textId="69E5A940" w:rsidR="00BA4788" w:rsidRPr="00432248" w:rsidRDefault="00BA4788" w:rsidP="00BA478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A478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中国二季度GDP同比</w:t>
            </w:r>
          </w:p>
        </w:tc>
      </w:tr>
      <w:tr w:rsidR="00BA4788" w:rsidRPr="00491C4D" w14:paraId="5B8E297F" w14:textId="77777777" w:rsidTr="00432248">
        <w:trPr>
          <w:trHeight w:val="652"/>
        </w:trPr>
        <w:tc>
          <w:tcPr>
            <w:tcW w:w="1701" w:type="dxa"/>
            <w:shd w:val="clear" w:color="auto" w:fill="DAE3F4" w:themeFill="accent1" w:themeFillTint="33"/>
          </w:tcPr>
          <w:p w14:paraId="4567D2AE" w14:textId="6F49D7A9" w:rsidR="00BA4788" w:rsidRPr="00432248" w:rsidRDefault="00BA4788" w:rsidP="00BA478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A478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2026/7/15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3B0A4895" w14:textId="640C252B" w:rsidR="00BA4788" w:rsidRPr="00432248" w:rsidRDefault="00BA4788" w:rsidP="00BA478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A478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148F6123" w14:textId="5C14CA18" w:rsidR="00BA4788" w:rsidRPr="00432248" w:rsidRDefault="00BA4788" w:rsidP="00BA478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A478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欧元区5月工业产出</w:t>
            </w:r>
          </w:p>
        </w:tc>
      </w:tr>
      <w:tr w:rsidR="00BA4788" w:rsidRPr="00491C4D" w14:paraId="11459514" w14:textId="77777777" w:rsidTr="00432248">
        <w:trPr>
          <w:trHeight w:val="620"/>
        </w:trPr>
        <w:tc>
          <w:tcPr>
            <w:tcW w:w="1701" w:type="dxa"/>
          </w:tcPr>
          <w:p w14:paraId="336E77A1" w14:textId="750E4139" w:rsidR="00BA4788" w:rsidRPr="00432248" w:rsidRDefault="00BA4788" w:rsidP="00BA478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A478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2026/7/15</w:t>
            </w:r>
          </w:p>
        </w:tc>
        <w:tc>
          <w:tcPr>
            <w:tcW w:w="1314" w:type="dxa"/>
          </w:tcPr>
          <w:p w14:paraId="2FF031BB" w14:textId="23E0797D" w:rsidR="00BA4788" w:rsidRPr="00432248" w:rsidRDefault="00BA4788" w:rsidP="00BA478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A478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</w:tcPr>
          <w:p w14:paraId="2CB0AF66" w14:textId="4D866293" w:rsidR="00BA4788" w:rsidRPr="00432248" w:rsidRDefault="00BA4788" w:rsidP="00BA478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BA478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 6 月 PPI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5ECB8572" w14:textId="77777777" w:rsidR="00BA4788" w:rsidRPr="00BA4788" w:rsidRDefault="00BA4788" w:rsidP="00BA4788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0.37%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100.93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0.34%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1.1419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0.33%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1.3390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0.15%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162.2190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40CB5888" w14:textId="77777777" w:rsidR="00BA4788" w:rsidRPr="00BA4788" w:rsidRDefault="00BA4788" w:rsidP="00BA4788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宏观数据方面，美国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proofErr w:type="gramStart"/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通胀超</w:t>
      </w:r>
      <w:proofErr w:type="gramEnd"/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预期回落，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同比增速录得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3.5%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，核心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同比录得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2.6%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，均明显低于前值和市场预期。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环比下滑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0.4%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，为六年来首次下降，降幅亦远超市场预期。数据公布后，美联储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月加息概率回落近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20%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，市场定价美联储或于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月展开加息操作，美元指数高位回落。地缘方面，美伊局势骤然升级，伊朗宣布封闭霍尔木兹海峡，美军对伊发动打击，各方就海峡通航表态仍存在显著分歧。美伊局势反复拉锯，推动油价、通胀预期与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月加息概率阶段性回升，为美元及美债收益率提供支撑；美联储威廉姆斯认为油价继续大幅上涨的可能性有限，随后加息预期小幅降温。整体来看，就业及通胀数据放缓限制美元上行空间，美伊冲突引发的避险需求则构成底部支撑，预计短期美元或维持高位震荡。</w:t>
      </w:r>
    </w:p>
    <w:p w14:paraId="502379A4" w14:textId="54102562" w:rsidR="002760F0" w:rsidRPr="002760F0" w:rsidRDefault="00BA4788" w:rsidP="00BA4788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油价上涨加剧</w:t>
      </w:r>
      <w:proofErr w:type="gramStart"/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通胀担忧</w:t>
      </w:r>
      <w:proofErr w:type="gramEnd"/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并推升对欧洲央行加息的押注，欧元区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同比增速由前期高位回落，欧央行整体维持鹰派基调，短期或对欧元形成支撑，但在美联储鹰派主基调延续、美欧利差</w:t>
      </w:r>
      <w:proofErr w:type="gramStart"/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持续走阔的</w:t>
      </w:r>
      <w:proofErr w:type="gramEnd"/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背景下，欧元反弹空间有限。日元延续低位震荡运行，日本央行仍沿渐进路径推进政策正常化，美日利差劣势、套</w:t>
      </w:r>
      <w:proofErr w:type="gramStart"/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息交易</w:t>
      </w:r>
      <w:proofErr w:type="gramEnd"/>
      <w:r w:rsidRPr="00BA4788">
        <w:rPr>
          <w:rFonts w:ascii="微软雅黑" w:eastAsia="微软雅黑" w:hAnsi="微软雅黑" w:cs="微软雅黑" w:hint="eastAsia"/>
          <w:spacing w:val="7"/>
          <w:lang w:eastAsia="zh-CN"/>
        </w:rPr>
        <w:t>及避险美元需求持续构成压制，但伴随日元持续运行于敏感区间，汇率干预风险亦同步上升，短期内日元或维持低位弱势运行</w:t>
      </w:r>
      <w:r w:rsidR="00A27DD1" w:rsidRPr="00A27DD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lastRenderedPageBreak/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4E33FB81" w:rsidR="007A477E" w:rsidRDefault="00BA4788" w:rsidP="002B2EDC">
      <w:pPr>
        <w:spacing w:before="120" w:line="190" w:lineRule="auto"/>
        <w:ind w:right="210" w:firstLineChars="200" w:firstLine="44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0336E">
        <w:rPr>
          <w:rFonts w:ascii="黑体" w:eastAsia="黑体" w:hAnsi="黑体" w:cs="黑体"/>
          <w:noProof/>
          <w:color w:val="000000" w:themeColor="text1"/>
          <w:sz w:val="22"/>
          <w:szCs w:val="22"/>
          <w:shd w:val="clear" w:color="auto" w:fill="FFFFFF"/>
          <w:lang w:bidi="ar"/>
        </w:rPr>
        <w:drawing>
          <wp:inline distT="0" distB="0" distL="0" distR="0" wp14:anchorId="3B445862" wp14:editId="47FF7D3F">
            <wp:extent cx="4352925" cy="2051050"/>
            <wp:effectExtent l="0" t="0" r="9525" b="6350"/>
            <wp:docPr id="1457508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683AC651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119023F0" w14:textId="244447B6" w:rsidR="00ED4A18" w:rsidRDefault="00BA4788" w:rsidP="00B00DB4">
      <w:pPr>
        <w:spacing w:before="103" w:line="256" w:lineRule="auto"/>
        <w:ind w:right="21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A4788">
        <w:rPr>
          <w:rFonts w:ascii="微软雅黑" w:eastAsia="微软雅黑" w:hAnsi="微软雅黑" w:cs="微软雅黑"/>
          <w:spacing w:val="7"/>
          <w:lang w:eastAsia="zh-CN"/>
        </w:rPr>
        <w:t>截至7月14日，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标普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500指数上涨0.38%至7543.59；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迷你标普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500主力合约上涨0.49%至7591点。经济数据与货币政策上，美国6月CPI、核心CPI均较前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值明显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回落且低于预期。通胀下行短暂削弱美联储加息预期，数据公布后，美联储加息预期后移至10月，美元指数、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10年期美债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收益率跌破101和4.6%关口，美股获得明显提振。美联储主席沃什在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出席国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会众议院半年度货币政策听证会时展现出强硬的“鹰派”立场，强调对高通胀零容忍，以及驳斥市场对于6月CPI环比下降的乐观态度。同时沃什再次强调美联储将坚持依据经济数据独立决策。地缘局势上，美国对伊朗的军事打击仍未停止，同时美军宣布已重新启动对进出伊朗港口及沿海地区船只海上封锁。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昨日美油一度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突破80美元。整体来看，虽然，美国6月通胀数据回落令市场对美联储加息预期短暂后移，但由于地缘冲突再起重新推升油价，在一定程度上使得6月通胀数据对美联储货币政策的影响力减弱。若油价未能出现回落，后续数据不乏重新走高的可能，需密切关注地缘局势变化带来的影响</w:t>
      </w:r>
      <w:r w:rsidR="00ED4A18" w:rsidRPr="00ED4A1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3E7D9146" w14:textId="38CC52C5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38DB808B" w:rsidR="007A477E" w:rsidRPr="00EE7376" w:rsidRDefault="00BA4788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A7CB2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57DF209F" wp14:editId="01F3AABA">
            <wp:extent cx="5274310" cy="1607317"/>
            <wp:effectExtent l="0" t="0" r="2540" b="0"/>
            <wp:docPr id="1280658507" name="图片 1280658507" descr="C:\Users\Administrator\xwechat_files\wxid_vkxlzo0vqu7s22_6f5b\temp\InputTemp\643b77d7-df0d-43e3-8f25-854d1b31d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643b77d7-df0d-43e3-8f25-854d1b31d85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27EC0DC4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6802A9D" w14:textId="74762D91" w:rsidR="004F4EDC" w:rsidRDefault="00BA4788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A4788">
        <w:rPr>
          <w:rFonts w:ascii="微软雅黑" w:eastAsia="微软雅黑" w:hAnsi="微软雅黑" w:cs="微软雅黑"/>
          <w:spacing w:val="7"/>
          <w:lang w:eastAsia="zh-CN"/>
        </w:rPr>
        <w:t>截至7月14日，富时中国A50指数上涨2.33%至15029.63；新交所富时A50期指主力合约上涨1.87%至15072。海外方面，经济数据上，美国6月CPI、核心CPI均较前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值明显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回落且低于预期。通胀下行短暂削弱美联储加息预期，数据公布后，美元指数、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10年期美债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收益率跌破101和4.6%关口。地缘局势上，</w:t>
      </w:r>
      <w:r w:rsidRPr="00BA4788">
        <w:rPr>
          <w:rFonts w:ascii="微软雅黑" w:eastAsia="微软雅黑" w:hAnsi="微软雅黑" w:cs="微软雅黑"/>
          <w:spacing w:val="7"/>
          <w:lang w:eastAsia="zh-CN"/>
        </w:rPr>
        <w:lastRenderedPageBreak/>
        <w:t>美国对伊朗的军事打击仍未停止，同时美军宣布已重新启动对进出伊朗港口及沿海地区船只海上封锁。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昨日美油一度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突破80美元。国内方面，经济基本面，上半年我国进出口贸易再创新高，其中机电类及高技术产品占比明显提升。上市公司基本面，目前披露半年度业绩预告的上市公司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预喜比例超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七成。消息面，长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鑫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科技发布公告，公司新股网上及网下申购日为7月16日，上市募集资金将用于主营业务投资。整体来看，在内需不足的情况下，外需对经济将起到明显带动，同时高技术产品引领出口也显示出新质生产力对经济的支撑。虽然，美国6月通胀数据回落令市场对美联储加息预期短暂后移，但由于地缘冲突再起重新推升油价，在一定程度上使得6月通胀数据对美联储货币政策的影响力减弱。若油价未能出现回落，后续数据不乏重新走高的可能，需密切关注地缘局势变化。同时，关注国内上半年经济数据以及长</w:t>
      </w:r>
      <w:proofErr w:type="gramStart"/>
      <w:r w:rsidRPr="00BA4788">
        <w:rPr>
          <w:rFonts w:ascii="微软雅黑" w:eastAsia="微软雅黑" w:hAnsi="微软雅黑" w:cs="微软雅黑"/>
          <w:spacing w:val="7"/>
          <w:lang w:eastAsia="zh-CN"/>
        </w:rPr>
        <w:t>鑫</w:t>
      </w:r>
      <w:proofErr w:type="gramEnd"/>
      <w:r w:rsidRPr="00BA4788">
        <w:rPr>
          <w:rFonts w:ascii="微软雅黑" w:eastAsia="微软雅黑" w:hAnsi="微软雅黑" w:cs="微软雅黑"/>
          <w:spacing w:val="7"/>
          <w:lang w:eastAsia="zh-CN"/>
        </w:rPr>
        <w:t>科技上市后市场情绪变化</w:t>
      </w:r>
      <w:r w:rsidR="004F4EDC" w:rsidRPr="004F4EDC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558D3D94" w:rsidR="009372C5" w:rsidRPr="00C07FA3" w:rsidRDefault="00115A1A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1EAB1CD7" w:rsidR="00A10388" w:rsidRDefault="00BA4788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9A7CB2">
        <w:rPr>
          <w:rFonts w:ascii="宋体" w:eastAsia="宋体" w:hAnsi="宋体"/>
          <w:b/>
          <w:noProof/>
        </w:rPr>
        <w:drawing>
          <wp:inline distT="0" distB="0" distL="0" distR="0" wp14:anchorId="257E28D1" wp14:editId="6E31A77F">
            <wp:extent cx="5274310" cy="1614716"/>
            <wp:effectExtent l="0" t="0" r="2540" b="5080"/>
            <wp:docPr id="2" name="图片 2" descr="C:\Users\Administrator\xwechat_files\wxid_vkxlzo0vqu7s22_6f5b\temp\InputTemp\0cb840ed-78ae-402b-849e-a12d83fd5e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0cb840ed-78ae-402b-849e-a12d83fd5eb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1AD0C707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1A1F9EDC" w14:textId="4D815A91" w:rsidR="005B5E6A" w:rsidRDefault="00BA4788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A4788">
        <w:rPr>
          <w:rFonts w:ascii="微软雅黑" w:eastAsia="微软雅黑" w:hAnsi="微软雅黑" w:cs="微软雅黑"/>
          <w:spacing w:val="12"/>
          <w:lang w:eastAsia="zh-CN"/>
        </w:rPr>
        <w:t>隔夜COMEX铜震荡偏强，报收6.367元/磅，涨跌幅+1.37%。国际方面，美国6月</w:t>
      </w:r>
      <w:proofErr w:type="gramStart"/>
      <w:r w:rsidRPr="00BA4788">
        <w:rPr>
          <w:rFonts w:ascii="微软雅黑" w:eastAsia="微软雅黑" w:hAnsi="微软雅黑" w:cs="微软雅黑"/>
          <w:spacing w:val="12"/>
          <w:lang w:eastAsia="zh-CN"/>
        </w:rPr>
        <w:t>未季调</w:t>
      </w:r>
      <w:proofErr w:type="gramEnd"/>
      <w:r w:rsidRPr="00BA4788">
        <w:rPr>
          <w:rFonts w:ascii="微软雅黑" w:eastAsia="微软雅黑" w:hAnsi="微软雅黑" w:cs="微软雅黑"/>
          <w:spacing w:val="12"/>
          <w:lang w:eastAsia="zh-CN"/>
        </w:rPr>
        <w:t>CPI同比增速放缓至3.5%，6月季调后CPI环比录得下降0.4%，为六年来首次录得下降。截至今晨，利率期货定价美联储到年底加息幅度约为30个基点，较昨日减少9个基点。国内方面，《扩大消费“十五五”规划》提出，到2030年，社会消费品零售总额达到60</w:t>
      </w:r>
      <w:proofErr w:type="gramStart"/>
      <w:r w:rsidRPr="00BA4788">
        <w:rPr>
          <w:rFonts w:ascii="微软雅黑" w:eastAsia="微软雅黑" w:hAnsi="微软雅黑" w:cs="微软雅黑"/>
          <w:spacing w:val="12"/>
          <w:lang w:eastAsia="zh-CN"/>
        </w:rPr>
        <w:t>万亿</w:t>
      </w:r>
      <w:proofErr w:type="gramEnd"/>
      <w:r w:rsidRPr="00BA4788">
        <w:rPr>
          <w:rFonts w:ascii="微软雅黑" w:eastAsia="微软雅黑" w:hAnsi="微软雅黑" w:cs="微软雅黑"/>
          <w:spacing w:val="12"/>
          <w:lang w:eastAsia="zh-CN"/>
        </w:rPr>
        <w:t>元左右，消费对经济增长的拉动作用进一步增强。《规划》部署了“十五五”时期扩大消费的28条重点任务举措，支持各地因城施策调整优化房地产政策；持续巩固资本市场稳中向好发展态势。《规划》围绕银发经济、育儿产品和服务、文化和旅游消费、健康消费、汽车消费等方面设置9个专栏，提出相关领域具体落实举措。库存方面，截至2026年7月14日，COMEX铜库存为680804短吨，环比+2759短吨；LME铜库存为303525吨，环比-1675吨；SHFE每日仓单44697吨，环比-2461吨。美元美债方面，因CPI数据低于预期，</w:t>
      </w:r>
      <w:proofErr w:type="gramStart"/>
      <w:r w:rsidRPr="00BA4788">
        <w:rPr>
          <w:rFonts w:ascii="微软雅黑" w:eastAsia="微软雅黑" w:hAnsi="微软雅黑" w:cs="微软雅黑"/>
          <w:spacing w:val="12"/>
          <w:lang w:eastAsia="zh-CN"/>
        </w:rPr>
        <w:t>这降低</w:t>
      </w:r>
      <w:proofErr w:type="gramEnd"/>
      <w:r w:rsidRPr="00BA4788">
        <w:rPr>
          <w:rFonts w:ascii="微软雅黑" w:eastAsia="微软雅黑" w:hAnsi="微软雅黑" w:cs="微软雅黑"/>
          <w:spacing w:val="12"/>
          <w:lang w:eastAsia="zh-CN"/>
        </w:rPr>
        <w:t>了市场对美联储即将加息的预期，美元指数亚欧盘震荡下行，并在美盘前急速下坠，盘中一度跌至100.58的日内低点，随后反弹，</w:t>
      </w:r>
      <w:proofErr w:type="gramStart"/>
      <w:r w:rsidRPr="00BA4788">
        <w:rPr>
          <w:rFonts w:ascii="微软雅黑" w:eastAsia="微软雅黑" w:hAnsi="微软雅黑" w:cs="微软雅黑"/>
          <w:spacing w:val="12"/>
          <w:lang w:eastAsia="zh-CN"/>
        </w:rPr>
        <w:t>最终收跌</w:t>
      </w:r>
      <w:proofErr w:type="gramEnd"/>
      <w:r w:rsidRPr="00BA4788">
        <w:rPr>
          <w:rFonts w:ascii="微软雅黑" w:eastAsia="微软雅黑" w:hAnsi="微软雅黑" w:cs="微软雅黑"/>
          <w:spacing w:val="12"/>
          <w:lang w:eastAsia="zh-CN"/>
        </w:rPr>
        <w:t>0.35%，报100.93；基准的</w:t>
      </w:r>
      <w:proofErr w:type="gramStart"/>
      <w:r w:rsidRPr="00BA4788">
        <w:rPr>
          <w:rFonts w:ascii="微软雅黑" w:eastAsia="微软雅黑" w:hAnsi="微软雅黑" w:cs="微软雅黑"/>
          <w:spacing w:val="12"/>
          <w:lang w:eastAsia="zh-CN"/>
        </w:rPr>
        <w:t>10年期美债</w:t>
      </w:r>
      <w:proofErr w:type="gramEnd"/>
      <w:r w:rsidRPr="00BA4788">
        <w:rPr>
          <w:rFonts w:ascii="微软雅黑" w:eastAsia="微软雅黑" w:hAnsi="微软雅黑" w:cs="微软雅黑"/>
          <w:spacing w:val="12"/>
          <w:lang w:eastAsia="zh-CN"/>
        </w:rPr>
        <w:t>收益率收报4.592%，对美联储政策利率敏感的</w:t>
      </w:r>
      <w:proofErr w:type="gramStart"/>
      <w:r w:rsidRPr="00BA4788">
        <w:rPr>
          <w:rFonts w:ascii="微软雅黑" w:eastAsia="微软雅黑" w:hAnsi="微软雅黑" w:cs="微软雅黑"/>
          <w:spacing w:val="12"/>
          <w:lang w:eastAsia="zh-CN"/>
        </w:rPr>
        <w:t>2年期美债</w:t>
      </w:r>
      <w:proofErr w:type="gramEnd"/>
      <w:r w:rsidRPr="00BA4788">
        <w:rPr>
          <w:rFonts w:ascii="微软雅黑" w:eastAsia="微软雅黑" w:hAnsi="微软雅黑" w:cs="微软雅黑"/>
          <w:spacing w:val="12"/>
          <w:lang w:eastAsia="zh-CN"/>
        </w:rPr>
        <w:t>收益率收报4.210%。操作建议，</w:t>
      </w:r>
      <w:proofErr w:type="gramStart"/>
      <w:r w:rsidRPr="00BA4788">
        <w:rPr>
          <w:rFonts w:ascii="微软雅黑" w:eastAsia="微软雅黑" w:hAnsi="微软雅黑" w:cs="微软雅黑"/>
          <w:spacing w:val="12"/>
          <w:lang w:eastAsia="zh-CN"/>
        </w:rPr>
        <w:t>纽</w:t>
      </w:r>
      <w:proofErr w:type="gramEnd"/>
      <w:r w:rsidRPr="00BA4788">
        <w:rPr>
          <w:rFonts w:ascii="微软雅黑" w:eastAsia="微软雅黑" w:hAnsi="微软雅黑" w:cs="微软雅黑"/>
          <w:spacing w:val="12"/>
          <w:lang w:eastAsia="zh-CN"/>
        </w:rPr>
        <w:t>铜主力合约轻仓逢低短多交易，仅供参考</w:t>
      </w:r>
      <w:r w:rsidR="005B5E6A" w:rsidRPr="005B5E6A">
        <w:rPr>
          <w:rFonts w:ascii="微软雅黑" w:eastAsia="微软雅黑" w:hAnsi="微软雅黑" w:cs="微软雅黑"/>
          <w:spacing w:val="12"/>
          <w:lang w:eastAsia="zh-CN"/>
        </w:rPr>
        <w:t>。</w:t>
      </w:r>
    </w:p>
    <w:p w14:paraId="18E9CDAF" w14:textId="68442A82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936DDCC" w:rsidR="00A02266" w:rsidRDefault="00BA4788" w:rsidP="006B6996">
      <w:pPr>
        <w:spacing w:before="103" w:line="256" w:lineRule="auto"/>
        <w:ind w:right="210" w:firstLine="420"/>
        <w:jc w:val="center"/>
      </w:pPr>
      <w:r>
        <w:rPr>
          <w:noProof/>
        </w:rPr>
        <w:lastRenderedPageBreak/>
        <w:drawing>
          <wp:inline distT="0" distB="0" distL="0" distR="0" wp14:anchorId="08E7A42B" wp14:editId="3991BCEB">
            <wp:extent cx="5274310" cy="2879090"/>
            <wp:effectExtent l="0" t="0" r="2540" b="0"/>
            <wp:docPr id="1605699948" name="图片 160569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648AE1CF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3202DDBA" w14:textId="65E22A45" w:rsidR="00F850DC" w:rsidRDefault="00BA4788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美国通胀数据不及预期，美元指数高位回落，隔夜贵金属市场企稳反弹。国际贵金属期货普遍收涨，COMEX黄金期货涨1.31%报4058.30美元/盎司，COMEX白银期货涨1.84%报59.04美元/盎司。美国6月CPI同比增速录得3.5%，剔除食品与能源分项的核心CPI同比录得2.6%，均明显低于前值和市场预期。CPI环比下滑0.4%，为六年来首次下降，降幅亦远超市场预期。数据公布后，美联储7月加息概率回落近20%，市场定价美联储或于10月展开加息操作，美元指数高位回落。往前看，美国就业及通胀数据均弱于市场预期，经历前期较为充分的回调以及资金去杠杆化，贵金属继续大幅下探的可能性或相对有限，但美伊局势延续拉锯态势，趋势性上涨仍需更明确的地缘缓和信号。美伊冲突及霍尔木兹海峡通行争端仍可能反复，若油价持续反弹并重新推升通胀预期，美联储鹰派定价以及强势美元仍将限制贵金属上行空间；白银工业属性趋于弱化，全球光伏装机量下滑以及光伏用银需求明显放缓，严重抑制白银工业需求，银价或跟随金价波动为主。中长期而言，新兴市场央行逢低购金、美国债务问题持续发酵以及全球储备资产多元化需求，仍将为黄金提供底部支撑。整体而言，地缘局势反复拉锯，金银短期或延续震荡筑底格局，操作上建议等待美伊局势缓和信号，轻仓布局多单为主</w:t>
      </w:r>
      <w:r w:rsidR="003B1539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0418445A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0DFC9201" w:rsidR="007A477E" w:rsidRDefault="00BA4788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E0336E">
        <w:rPr>
          <w:rFonts w:ascii="黑体" w:eastAsia="黑体" w:hAnsi="黑体"/>
          <w:b/>
          <w:bCs/>
          <w:noProof/>
          <w:sz w:val="22"/>
          <w:szCs w:val="22"/>
          <w:shd w:val="clear" w:color="auto" w:fill="FFFFFF"/>
          <w:lang w:bidi="ar"/>
        </w:rPr>
        <w:drawing>
          <wp:inline distT="0" distB="0" distL="0" distR="0" wp14:anchorId="2D79F333" wp14:editId="3A73C644">
            <wp:extent cx="4381500" cy="2167890"/>
            <wp:effectExtent l="0" t="0" r="0" b="3810"/>
            <wp:docPr id="6898902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4E009B91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3686F8BE" w14:textId="77777777" w:rsidR="00BA4788" w:rsidRPr="00BA4788" w:rsidRDefault="00BA4788" w:rsidP="00BA478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原糖期货周二收高，受能源价格上涨及巴西提供汽油中乙醇强制掺混比例的消息提振。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0.13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0.88%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14.88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73015056" w14:textId="77777777" w:rsidR="00BA4788" w:rsidRPr="00BA4788" w:rsidRDefault="00BA4788" w:rsidP="00BA478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50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50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217.65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万吨，此前一周为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221.34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。其中桑托斯港等待出口的食糖数量为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170.68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万吨。当周等待装运出口的食糖船只数量持平。</w:t>
      </w:r>
    </w:p>
    <w:p w14:paraId="3F44DEBC" w14:textId="1473DFBE" w:rsidR="00C27A84" w:rsidRDefault="00BA4788" w:rsidP="00BA478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15.8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13.8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A4788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BA4788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4201A600" w:rsidR="007A477E" w:rsidRPr="00786136" w:rsidRDefault="00871D48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144FE3E2" wp14:editId="49CA840A">
            <wp:extent cx="5270500" cy="2156460"/>
            <wp:effectExtent l="0" t="0" r="6350" b="0"/>
            <wp:docPr id="1985326737" name="图片 5" descr="QQ截图2026071507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QQ截图202607150758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1B1E24D3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142D4E20" w14:textId="5D506AA3" w:rsidR="00EC61BD" w:rsidRPr="00EC61BD" w:rsidRDefault="00561AD6" w:rsidP="00EC61BD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017F9DBD" w14:textId="77777777" w:rsidR="00871D48" w:rsidRPr="00871D48" w:rsidRDefault="00871D48" w:rsidP="00871D4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棉花期货周二下跌，市场参与者关注短期需求疲软，及中国储备棉销售工作，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0.64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0.79%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80.87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DE264A7" w14:textId="17D31116" w:rsidR="00ED4A18" w:rsidRDefault="00871D48" w:rsidP="00871D4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日止当周，美国当前年度陆地棉出口销售净增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6.64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36%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49%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。当周美国陆地棉出口装运量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23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5%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，较前四周平均水平减少</w:t>
      </w:r>
      <w:r w:rsidRPr="00871D48">
        <w:rPr>
          <w:rFonts w:ascii="微软雅黑" w:eastAsia="微软雅黑" w:hAnsi="微软雅黑" w:cs="微软雅黑"/>
          <w:noProof/>
          <w:spacing w:val="7"/>
          <w:lang w:eastAsia="zh-CN"/>
        </w:rPr>
        <w:t>14%</w:t>
      </w:r>
      <w:r w:rsidRPr="00871D4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。当周美国棉花出口签约量、装船量环比增加</w:t>
      </w:r>
      <w:r w:rsidR="00ED4A18"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23B91188" w:rsidR="00C24CC6" w:rsidRPr="00C24CC6" w:rsidRDefault="00F728F3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76F3EEF4" w:rsidR="00C24CC6" w:rsidRDefault="00871D48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42C17D32" wp14:editId="4CC8AE10">
            <wp:extent cx="5270500" cy="2148205"/>
            <wp:effectExtent l="0" t="0" r="6350" b="4445"/>
            <wp:docPr id="1795550853" name="图片 6" descr="QQ截图2026071407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QQ截图202607140751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6B8D567D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EA50A" w14:textId="77777777" w:rsidR="00185FC7" w:rsidRDefault="00185FC7">
      <w:pPr>
        <w:ind w:right="210" w:firstLine="420"/>
      </w:pPr>
      <w:r>
        <w:separator/>
      </w:r>
    </w:p>
  </w:endnote>
  <w:endnote w:type="continuationSeparator" w:id="0">
    <w:p w14:paraId="3070F3A2" w14:textId="77777777" w:rsidR="00185FC7" w:rsidRDefault="00185FC7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8BE0B" w14:textId="77777777" w:rsidR="00185FC7" w:rsidRDefault="00185FC7">
      <w:pPr>
        <w:ind w:right="210" w:firstLine="420"/>
      </w:pPr>
      <w:r>
        <w:separator/>
      </w:r>
    </w:p>
  </w:footnote>
  <w:footnote w:type="continuationSeparator" w:id="0">
    <w:p w14:paraId="54DB09D3" w14:textId="77777777" w:rsidR="00185FC7" w:rsidRDefault="00185FC7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6849884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988"/>
    <w:rsid w:val="00014D87"/>
    <w:rsid w:val="000159F9"/>
    <w:rsid w:val="0001628C"/>
    <w:rsid w:val="000166CB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058"/>
    <w:rsid w:val="0005517D"/>
    <w:rsid w:val="00057525"/>
    <w:rsid w:val="000575E1"/>
    <w:rsid w:val="00060769"/>
    <w:rsid w:val="00060DE6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AE7"/>
    <w:rsid w:val="00094B4A"/>
    <w:rsid w:val="00095513"/>
    <w:rsid w:val="00095FF2"/>
    <w:rsid w:val="0009722E"/>
    <w:rsid w:val="00097D7E"/>
    <w:rsid w:val="000A1568"/>
    <w:rsid w:val="000A2EA5"/>
    <w:rsid w:val="000A338F"/>
    <w:rsid w:val="000A43C7"/>
    <w:rsid w:val="000A4DC4"/>
    <w:rsid w:val="000A785F"/>
    <w:rsid w:val="000B0395"/>
    <w:rsid w:val="000B0AE3"/>
    <w:rsid w:val="000B185C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09D5"/>
    <w:rsid w:val="000E107B"/>
    <w:rsid w:val="000E1CD6"/>
    <w:rsid w:val="000E37BF"/>
    <w:rsid w:val="000F04E9"/>
    <w:rsid w:val="000F2E96"/>
    <w:rsid w:val="000F434E"/>
    <w:rsid w:val="000F5752"/>
    <w:rsid w:val="000F5A15"/>
    <w:rsid w:val="000F6A95"/>
    <w:rsid w:val="000F7B73"/>
    <w:rsid w:val="0010025C"/>
    <w:rsid w:val="00102B5B"/>
    <w:rsid w:val="001031A8"/>
    <w:rsid w:val="001046E7"/>
    <w:rsid w:val="00104BEA"/>
    <w:rsid w:val="00105881"/>
    <w:rsid w:val="00106677"/>
    <w:rsid w:val="001072C6"/>
    <w:rsid w:val="00107653"/>
    <w:rsid w:val="0011030F"/>
    <w:rsid w:val="00110490"/>
    <w:rsid w:val="001106DA"/>
    <w:rsid w:val="00110D06"/>
    <w:rsid w:val="0011113D"/>
    <w:rsid w:val="001113FA"/>
    <w:rsid w:val="001123C4"/>
    <w:rsid w:val="001136D4"/>
    <w:rsid w:val="00115A1A"/>
    <w:rsid w:val="00116185"/>
    <w:rsid w:val="00116B4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3F3B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4D96"/>
    <w:rsid w:val="00185881"/>
    <w:rsid w:val="00185FC7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18B6"/>
    <w:rsid w:val="001A270F"/>
    <w:rsid w:val="001A33CE"/>
    <w:rsid w:val="001A37B9"/>
    <w:rsid w:val="001A38E1"/>
    <w:rsid w:val="001A3FA7"/>
    <w:rsid w:val="001A4594"/>
    <w:rsid w:val="001A46B3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1B7"/>
    <w:rsid w:val="001C1871"/>
    <w:rsid w:val="001C1BA8"/>
    <w:rsid w:val="001C28A7"/>
    <w:rsid w:val="001C290A"/>
    <w:rsid w:val="001C369F"/>
    <w:rsid w:val="001C43DE"/>
    <w:rsid w:val="001C4D7E"/>
    <w:rsid w:val="001C51A4"/>
    <w:rsid w:val="001C55EC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BA3"/>
    <w:rsid w:val="001F6CFC"/>
    <w:rsid w:val="001F744A"/>
    <w:rsid w:val="002000F1"/>
    <w:rsid w:val="0020053E"/>
    <w:rsid w:val="0020092B"/>
    <w:rsid w:val="002031FF"/>
    <w:rsid w:val="00203CD6"/>
    <w:rsid w:val="00204FEA"/>
    <w:rsid w:val="00205476"/>
    <w:rsid w:val="00205E17"/>
    <w:rsid w:val="0020772A"/>
    <w:rsid w:val="002112AA"/>
    <w:rsid w:val="00212D7B"/>
    <w:rsid w:val="00212DDB"/>
    <w:rsid w:val="00213C1E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20FE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37368"/>
    <w:rsid w:val="00241ED4"/>
    <w:rsid w:val="00242605"/>
    <w:rsid w:val="00243413"/>
    <w:rsid w:val="0024341E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AE9"/>
    <w:rsid w:val="00257DA5"/>
    <w:rsid w:val="00257E05"/>
    <w:rsid w:val="0026196E"/>
    <w:rsid w:val="00262C5F"/>
    <w:rsid w:val="0026300C"/>
    <w:rsid w:val="0026356F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1822"/>
    <w:rsid w:val="002924DE"/>
    <w:rsid w:val="002932DF"/>
    <w:rsid w:val="00293B10"/>
    <w:rsid w:val="002944E3"/>
    <w:rsid w:val="00296089"/>
    <w:rsid w:val="0029665C"/>
    <w:rsid w:val="002968C5"/>
    <w:rsid w:val="002A070E"/>
    <w:rsid w:val="002A1143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533"/>
    <w:rsid w:val="002E09B8"/>
    <w:rsid w:val="002E11CA"/>
    <w:rsid w:val="002E233D"/>
    <w:rsid w:val="002E2398"/>
    <w:rsid w:val="002E37FC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6F4E"/>
    <w:rsid w:val="00377B52"/>
    <w:rsid w:val="00380D4C"/>
    <w:rsid w:val="003812E8"/>
    <w:rsid w:val="00381F29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1539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5B09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224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1CAA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3AAD"/>
    <w:rsid w:val="00484C55"/>
    <w:rsid w:val="00484E17"/>
    <w:rsid w:val="0048502E"/>
    <w:rsid w:val="00485CF2"/>
    <w:rsid w:val="004869DD"/>
    <w:rsid w:val="004900A5"/>
    <w:rsid w:val="0049083B"/>
    <w:rsid w:val="00490E01"/>
    <w:rsid w:val="00490F16"/>
    <w:rsid w:val="0049175A"/>
    <w:rsid w:val="00491C4D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6E0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164"/>
    <w:rsid w:val="004F059A"/>
    <w:rsid w:val="004F0744"/>
    <w:rsid w:val="004F0E48"/>
    <w:rsid w:val="004F11FA"/>
    <w:rsid w:val="004F3F05"/>
    <w:rsid w:val="004F43EA"/>
    <w:rsid w:val="004F4BD4"/>
    <w:rsid w:val="004F4E30"/>
    <w:rsid w:val="004F4EDC"/>
    <w:rsid w:val="004F5AAE"/>
    <w:rsid w:val="004F5F20"/>
    <w:rsid w:val="004F73E0"/>
    <w:rsid w:val="004F74A8"/>
    <w:rsid w:val="004F78EB"/>
    <w:rsid w:val="004F7B11"/>
    <w:rsid w:val="00502E1A"/>
    <w:rsid w:val="005032E4"/>
    <w:rsid w:val="00503381"/>
    <w:rsid w:val="0050522A"/>
    <w:rsid w:val="00505EC4"/>
    <w:rsid w:val="00506C79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583F"/>
    <w:rsid w:val="005272B5"/>
    <w:rsid w:val="005275E1"/>
    <w:rsid w:val="00530B67"/>
    <w:rsid w:val="005334EE"/>
    <w:rsid w:val="005337AE"/>
    <w:rsid w:val="005340E9"/>
    <w:rsid w:val="00534524"/>
    <w:rsid w:val="00534F09"/>
    <w:rsid w:val="00536675"/>
    <w:rsid w:val="00536FAC"/>
    <w:rsid w:val="00537254"/>
    <w:rsid w:val="005376D6"/>
    <w:rsid w:val="00537B5B"/>
    <w:rsid w:val="00540161"/>
    <w:rsid w:val="0054186C"/>
    <w:rsid w:val="00541B3A"/>
    <w:rsid w:val="005432AF"/>
    <w:rsid w:val="005436D4"/>
    <w:rsid w:val="005446C7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37EF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33E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3D17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5E6A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41A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65E1"/>
    <w:rsid w:val="005E73EB"/>
    <w:rsid w:val="005E7BA2"/>
    <w:rsid w:val="005F0549"/>
    <w:rsid w:val="005F1057"/>
    <w:rsid w:val="005F1EB2"/>
    <w:rsid w:val="005F3A7A"/>
    <w:rsid w:val="005F4937"/>
    <w:rsid w:val="005F4A09"/>
    <w:rsid w:val="005F5D93"/>
    <w:rsid w:val="005F62DA"/>
    <w:rsid w:val="005F7926"/>
    <w:rsid w:val="005F7A56"/>
    <w:rsid w:val="005F7D1A"/>
    <w:rsid w:val="00601D35"/>
    <w:rsid w:val="00605112"/>
    <w:rsid w:val="00605270"/>
    <w:rsid w:val="00605A16"/>
    <w:rsid w:val="00606227"/>
    <w:rsid w:val="00606A48"/>
    <w:rsid w:val="0060749E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129D"/>
    <w:rsid w:val="0064243E"/>
    <w:rsid w:val="00642558"/>
    <w:rsid w:val="00642D7D"/>
    <w:rsid w:val="00643C9E"/>
    <w:rsid w:val="00643E0C"/>
    <w:rsid w:val="00644943"/>
    <w:rsid w:val="00644A9F"/>
    <w:rsid w:val="00644AEE"/>
    <w:rsid w:val="006458DB"/>
    <w:rsid w:val="00646C5A"/>
    <w:rsid w:val="00647A80"/>
    <w:rsid w:val="0065002F"/>
    <w:rsid w:val="00651887"/>
    <w:rsid w:val="006536EA"/>
    <w:rsid w:val="00653A5D"/>
    <w:rsid w:val="00653C3C"/>
    <w:rsid w:val="00654E6B"/>
    <w:rsid w:val="0065569F"/>
    <w:rsid w:val="00655BBF"/>
    <w:rsid w:val="00657D46"/>
    <w:rsid w:val="00660E1C"/>
    <w:rsid w:val="00660EB1"/>
    <w:rsid w:val="00660F86"/>
    <w:rsid w:val="00661EA6"/>
    <w:rsid w:val="00662AE9"/>
    <w:rsid w:val="00662D67"/>
    <w:rsid w:val="006645DE"/>
    <w:rsid w:val="00664DC3"/>
    <w:rsid w:val="00665186"/>
    <w:rsid w:val="006662F6"/>
    <w:rsid w:val="00666346"/>
    <w:rsid w:val="006669F0"/>
    <w:rsid w:val="00666A9D"/>
    <w:rsid w:val="006671FF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72B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BC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0B60"/>
    <w:rsid w:val="007229F6"/>
    <w:rsid w:val="00722D9F"/>
    <w:rsid w:val="00723697"/>
    <w:rsid w:val="007237B9"/>
    <w:rsid w:val="007238CB"/>
    <w:rsid w:val="00723C75"/>
    <w:rsid w:val="00725257"/>
    <w:rsid w:val="00725283"/>
    <w:rsid w:val="00725B26"/>
    <w:rsid w:val="00726161"/>
    <w:rsid w:val="00727595"/>
    <w:rsid w:val="00727F7F"/>
    <w:rsid w:val="007300C9"/>
    <w:rsid w:val="0073097E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360CD"/>
    <w:rsid w:val="00736299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3D82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2F58"/>
    <w:rsid w:val="00765484"/>
    <w:rsid w:val="00765525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36D9"/>
    <w:rsid w:val="00796EE5"/>
    <w:rsid w:val="007A20C4"/>
    <w:rsid w:val="007A287B"/>
    <w:rsid w:val="007A2B91"/>
    <w:rsid w:val="007A477E"/>
    <w:rsid w:val="007A4D8D"/>
    <w:rsid w:val="007A4E18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9C6"/>
    <w:rsid w:val="007C1CAA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5CED"/>
    <w:rsid w:val="007E6FCE"/>
    <w:rsid w:val="007F08A9"/>
    <w:rsid w:val="007F17B0"/>
    <w:rsid w:val="007F1B3F"/>
    <w:rsid w:val="007F283F"/>
    <w:rsid w:val="007F3EAB"/>
    <w:rsid w:val="007F6813"/>
    <w:rsid w:val="00800C12"/>
    <w:rsid w:val="00800F46"/>
    <w:rsid w:val="00801B68"/>
    <w:rsid w:val="00803093"/>
    <w:rsid w:val="00803E98"/>
    <w:rsid w:val="0080461F"/>
    <w:rsid w:val="008057BB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486F"/>
    <w:rsid w:val="00814EEB"/>
    <w:rsid w:val="0081618A"/>
    <w:rsid w:val="00816288"/>
    <w:rsid w:val="0081686E"/>
    <w:rsid w:val="0082015E"/>
    <w:rsid w:val="008202A7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40CB"/>
    <w:rsid w:val="008452A0"/>
    <w:rsid w:val="00845B7D"/>
    <w:rsid w:val="00845F7E"/>
    <w:rsid w:val="00846477"/>
    <w:rsid w:val="00846EF5"/>
    <w:rsid w:val="008473AF"/>
    <w:rsid w:val="0085140B"/>
    <w:rsid w:val="00851C6B"/>
    <w:rsid w:val="00851CF1"/>
    <w:rsid w:val="00853615"/>
    <w:rsid w:val="00853C1D"/>
    <w:rsid w:val="008560BB"/>
    <w:rsid w:val="00856E86"/>
    <w:rsid w:val="008577CC"/>
    <w:rsid w:val="0086045C"/>
    <w:rsid w:val="008609BE"/>
    <w:rsid w:val="00861C67"/>
    <w:rsid w:val="00863DC4"/>
    <w:rsid w:val="00863E18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1D48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419C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A4A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7C1"/>
    <w:rsid w:val="008D2C31"/>
    <w:rsid w:val="008D435F"/>
    <w:rsid w:val="008D4A14"/>
    <w:rsid w:val="008D5C6C"/>
    <w:rsid w:val="008D5F7A"/>
    <w:rsid w:val="008D6324"/>
    <w:rsid w:val="008D6AF2"/>
    <w:rsid w:val="008D778A"/>
    <w:rsid w:val="008E118F"/>
    <w:rsid w:val="008E1CCA"/>
    <w:rsid w:val="008E3AE8"/>
    <w:rsid w:val="008E6276"/>
    <w:rsid w:val="008E695F"/>
    <w:rsid w:val="008E78A0"/>
    <w:rsid w:val="008F35C2"/>
    <w:rsid w:val="008F3BD6"/>
    <w:rsid w:val="008F3E36"/>
    <w:rsid w:val="008F419C"/>
    <w:rsid w:val="008F6863"/>
    <w:rsid w:val="009000B3"/>
    <w:rsid w:val="00900347"/>
    <w:rsid w:val="009012DD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19B8"/>
    <w:rsid w:val="00912070"/>
    <w:rsid w:val="0091320F"/>
    <w:rsid w:val="009142F4"/>
    <w:rsid w:val="009145EF"/>
    <w:rsid w:val="0091526F"/>
    <w:rsid w:val="009152A5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07FA"/>
    <w:rsid w:val="0093187B"/>
    <w:rsid w:val="00932887"/>
    <w:rsid w:val="00933125"/>
    <w:rsid w:val="0093636F"/>
    <w:rsid w:val="00936E27"/>
    <w:rsid w:val="009372C5"/>
    <w:rsid w:val="009376BB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C94"/>
    <w:rsid w:val="00965F4E"/>
    <w:rsid w:val="00966428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A61"/>
    <w:rsid w:val="00980F12"/>
    <w:rsid w:val="00981752"/>
    <w:rsid w:val="0098233C"/>
    <w:rsid w:val="009823F4"/>
    <w:rsid w:val="00984CAE"/>
    <w:rsid w:val="00984E4F"/>
    <w:rsid w:val="00985AA2"/>
    <w:rsid w:val="00990758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3B2"/>
    <w:rsid w:val="009A29B6"/>
    <w:rsid w:val="009A3249"/>
    <w:rsid w:val="009A4AC4"/>
    <w:rsid w:val="009A6ABA"/>
    <w:rsid w:val="009A6FD4"/>
    <w:rsid w:val="009A7CE8"/>
    <w:rsid w:val="009B00A1"/>
    <w:rsid w:val="009B03A4"/>
    <w:rsid w:val="009B08F6"/>
    <w:rsid w:val="009B354F"/>
    <w:rsid w:val="009B44DE"/>
    <w:rsid w:val="009B4EAC"/>
    <w:rsid w:val="009B4F28"/>
    <w:rsid w:val="009B6D1A"/>
    <w:rsid w:val="009B71B7"/>
    <w:rsid w:val="009C04AB"/>
    <w:rsid w:val="009C113D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36DF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63A"/>
    <w:rsid w:val="009F3905"/>
    <w:rsid w:val="009F512D"/>
    <w:rsid w:val="009F5807"/>
    <w:rsid w:val="009F5BE1"/>
    <w:rsid w:val="009F64F4"/>
    <w:rsid w:val="009F72B2"/>
    <w:rsid w:val="009F78AF"/>
    <w:rsid w:val="00A006BA"/>
    <w:rsid w:val="00A007AC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109"/>
    <w:rsid w:val="00A22B03"/>
    <w:rsid w:val="00A23E6E"/>
    <w:rsid w:val="00A24227"/>
    <w:rsid w:val="00A24C21"/>
    <w:rsid w:val="00A25AF9"/>
    <w:rsid w:val="00A2617C"/>
    <w:rsid w:val="00A2655E"/>
    <w:rsid w:val="00A26778"/>
    <w:rsid w:val="00A27DD1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42D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157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0A67"/>
    <w:rsid w:val="00A625C1"/>
    <w:rsid w:val="00A6283C"/>
    <w:rsid w:val="00A62BE6"/>
    <w:rsid w:val="00A62DEC"/>
    <w:rsid w:val="00A62E14"/>
    <w:rsid w:val="00A63882"/>
    <w:rsid w:val="00A63996"/>
    <w:rsid w:val="00A640AD"/>
    <w:rsid w:val="00A6500B"/>
    <w:rsid w:val="00A659D7"/>
    <w:rsid w:val="00A66AD4"/>
    <w:rsid w:val="00A67FA5"/>
    <w:rsid w:val="00A712BC"/>
    <w:rsid w:val="00A73A77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6F2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2BEF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5C04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310E"/>
    <w:rsid w:val="00AE484C"/>
    <w:rsid w:val="00AE4E06"/>
    <w:rsid w:val="00AE56E0"/>
    <w:rsid w:val="00AE5A93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2E29"/>
    <w:rsid w:val="00B13C07"/>
    <w:rsid w:val="00B154FA"/>
    <w:rsid w:val="00B1563E"/>
    <w:rsid w:val="00B16059"/>
    <w:rsid w:val="00B17B95"/>
    <w:rsid w:val="00B20DD0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0C"/>
    <w:rsid w:val="00B46791"/>
    <w:rsid w:val="00B4699D"/>
    <w:rsid w:val="00B46FCD"/>
    <w:rsid w:val="00B51D3C"/>
    <w:rsid w:val="00B52288"/>
    <w:rsid w:val="00B539F7"/>
    <w:rsid w:val="00B54085"/>
    <w:rsid w:val="00B54643"/>
    <w:rsid w:val="00B54B31"/>
    <w:rsid w:val="00B55A09"/>
    <w:rsid w:val="00B55B24"/>
    <w:rsid w:val="00B55E8F"/>
    <w:rsid w:val="00B56A7C"/>
    <w:rsid w:val="00B56CF5"/>
    <w:rsid w:val="00B56E80"/>
    <w:rsid w:val="00B6096B"/>
    <w:rsid w:val="00B60A1E"/>
    <w:rsid w:val="00B60A6D"/>
    <w:rsid w:val="00B621A7"/>
    <w:rsid w:val="00B63AFE"/>
    <w:rsid w:val="00B6439F"/>
    <w:rsid w:val="00B64755"/>
    <w:rsid w:val="00B679D2"/>
    <w:rsid w:val="00B67AFE"/>
    <w:rsid w:val="00B67EC5"/>
    <w:rsid w:val="00B7174B"/>
    <w:rsid w:val="00B71E12"/>
    <w:rsid w:val="00B722F9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4788"/>
    <w:rsid w:val="00BA607E"/>
    <w:rsid w:val="00BA75B4"/>
    <w:rsid w:val="00BB0049"/>
    <w:rsid w:val="00BB0447"/>
    <w:rsid w:val="00BB1618"/>
    <w:rsid w:val="00BB20F8"/>
    <w:rsid w:val="00BB257A"/>
    <w:rsid w:val="00BB25B4"/>
    <w:rsid w:val="00BB2D5C"/>
    <w:rsid w:val="00BB41E2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1610"/>
    <w:rsid w:val="00BD2094"/>
    <w:rsid w:val="00BD2291"/>
    <w:rsid w:val="00BD2646"/>
    <w:rsid w:val="00BD368B"/>
    <w:rsid w:val="00BD501D"/>
    <w:rsid w:val="00BD55A4"/>
    <w:rsid w:val="00BD5B2D"/>
    <w:rsid w:val="00BD6596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174"/>
    <w:rsid w:val="00BF223C"/>
    <w:rsid w:val="00BF2504"/>
    <w:rsid w:val="00BF63F8"/>
    <w:rsid w:val="00BF6C5D"/>
    <w:rsid w:val="00BF6FB8"/>
    <w:rsid w:val="00C00F17"/>
    <w:rsid w:val="00C00FBA"/>
    <w:rsid w:val="00C02EA5"/>
    <w:rsid w:val="00C03578"/>
    <w:rsid w:val="00C03B35"/>
    <w:rsid w:val="00C04206"/>
    <w:rsid w:val="00C0669C"/>
    <w:rsid w:val="00C06C5C"/>
    <w:rsid w:val="00C06E86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33AD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06CD"/>
    <w:rsid w:val="00C41465"/>
    <w:rsid w:val="00C41CC8"/>
    <w:rsid w:val="00C41F77"/>
    <w:rsid w:val="00C43524"/>
    <w:rsid w:val="00C441E0"/>
    <w:rsid w:val="00C44907"/>
    <w:rsid w:val="00C459B5"/>
    <w:rsid w:val="00C47281"/>
    <w:rsid w:val="00C47A0B"/>
    <w:rsid w:val="00C47B90"/>
    <w:rsid w:val="00C500E1"/>
    <w:rsid w:val="00C5184A"/>
    <w:rsid w:val="00C5222E"/>
    <w:rsid w:val="00C525C7"/>
    <w:rsid w:val="00C54666"/>
    <w:rsid w:val="00C55186"/>
    <w:rsid w:val="00C553E1"/>
    <w:rsid w:val="00C55668"/>
    <w:rsid w:val="00C55CB0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49BE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3D26"/>
    <w:rsid w:val="00CB429C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81E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6DC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473B2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3A0C"/>
    <w:rsid w:val="00D64AA3"/>
    <w:rsid w:val="00D64D2D"/>
    <w:rsid w:val="00D64D94"/>
    <w:rsid w:val="00D66A75"/>
    <w:rsid w:val="00D66DAA"/>
    <w:rsid w:val="00D673DE"/>
    <w:rsid w:val="00D677F5"/>
    <w:rsid w:val="00D70B6B"/>
    <w:rsid w:val="00D70F8F"/>
    <w:rsid w:val="00D71D03"/>
    <w:rsid w:val="00D73717"/>
    <w:rsid w:val="00D7385F"/>
    <w:rsid w:val="00D73B22"/>
    <w:rsid w:val="00D74171"/>
    <w:rsid w:val="00D74294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35CB"/>
    <w:rsid w:val="00D85FBA"/>
    <w:rsid w:val="00D868CB"/>
    <w:rsid w:val="00D87064"/>
    <w:rsid w:val="00D87184"/>
    <w:rsid w:val="00D87402"/>
    <w:rsid w:val="00D87994"/>
    <w:rsid w:val="00D90EA7"/>
    <w:rsid w:val="00D9111F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4FF3"/>
    <w:rsid w:val="00DB5AC9"/>
    <w:rsid w:val="00DB753E"/>
    <w:rsid w:val="00DC0244"/>
    <w:rsid w:val="00DC0CCB"/>
    <w:rsid w:val="00DC11C4"/>
    <w:rsid w:val="00DC19CB"/>
    <w:rsid w:val="00DC2E0F"/>
    <w:rsid w:val="00DC342D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293F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1696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5A36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653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C50"/>
    <w:rsid w:val="00E90E28"/>
    <w:rsid w:val="00E91FCB"/>
    <w:rsid w:val="00E930B0"/>
    <w:rsid w:val="00E942DC"/>
    <w:rsid w:val="00E94E71"/>
    <w:rsid w:val="00E96B67"/>
    <w:rsid w:val="00EA0E7E"/>
    <w:rsid w:val="00EA2F4B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1BD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4A18"/>
    <w:rsid w:val="00ED606D"/>
    <w:rsid w:val="00ED60B9"/>
    <w:rsid w:val="00ED700A"/>
    <w:rsid w:val="00ED7E78"/>
    <w:rsid w:val="00EE1744"/>
    <w:rsid w:val="00EE1A15"/>
    <w:rsid w:val="00EE2C74"/>
    <w:rsid w:val="00EE3B4D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0570"/>
    <w:rsid w:val="00F01C2A"/>
    <w:rsid w:val="00F03356"/>
    <w:rsid w:val="00F0435B"/>
    <w:rsid w:val="00F04C10"/>
    <w:rsid w:val="00F04D03"/>
    <w:rsid w:val="00F07275"/>
    <w:rsid w:val="00F0730B"/>
    <w:rsid w:val="00F1090A"/>
    <w:rsid w:val="00F10F4B"/>
    <w:rsid w:val="00F11034"/>
    <w:rsid w:val="00F114A7"/>
    <w:rsid w:val="00F13913"/>
    <w:rsid w:val="00F13BE5"/>
    <w:rsid w:val="00F15E85"/>
    <w:rsid w:val="00F16C86"/>
    <w:rsid w:val="00F17CFC"/>
    <w:rsid w:val="00F22797"/>
    <w:rsid w:val="00F230F9"/>
    <w:rsid w:val="00F23139"/>
    <w:rsid w:val="00F25C8D"/>
    <w:rsid w:val="00F25DD4"/>
    <w:rsid w:val="00F26190"/>
    <w:rsid w:val="00F26828"/>
    <w:rsid w:val="00F26A3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02B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50DC"/>
    <w:rsid w:val="00F86514"/>
    <w:rsid w:val="00F90154"/>
    <w:rsid w:val="00F9108A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5A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760</Words>
  <Characters>4333</Characters>
  <Application>Microsoft Office Word</Application>
  <DocSecurity>0</DocSecurity>
  <Lines>36</Lines>
  <Paragraphs>10</Paragraphs>
  <ScaleCrop>false</ScaleCrop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2026-07-15T01:43:00Z</dcterms:created>
  <dcterms:modified xsi:type="dcterms:W3CDTF">2026-07-15T01:43:00Z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