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D54BD" w14:textId="77777777" w:rsidR="00993B64" w:rsidRDefault="00E42547">
      <w:pPr>
        <w:pStyle w:val="a3"/>
        <w:spacing w:line="256" w:lineRule="auto"/>
      </w:pPr>
      <w:r>
        <w:rPr>
          <w:noProof/>
          <w:lang w:eastAsia="zh-CN"/>
        </w:rPr>
        <mc:AlternateContent>
          <mc:Choice Requires="wps">
            <w:drawing>
              <wp:anchor distT="0" distB="0" distL="114300" distR="114300" simplePos="0" relativeHeight="251659264" behindDoc="0" locked="0" layoutInCell="0" allowOverlap="1" wp14:anchorId="1EC38C8E" wp14:editId="4EF3E825">
                <wp:simplePos x="0" y="0"/>
                <wp:positionH relativeFrom="page">
                  <wp:posOffset>893445</wp:posOffset>
                </wp:positionH>
                <wp:positionV relativeFrom="page">
                  <wp:posOffset>3441700</wp:posOffset>
                </wp:positionV>
                <wp:extent cx="1376680" cy="31750"/>
                <wp:effectExtent l="0" t="0" r="13970" b="6350"/>
                <wp:wrapNone/>
                <wp:docPr id="8" name="矩形 8"/>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w:pict>
              <v:rect w14:anchorId="41AAEDFC" id="矩形 8" o:spid="_x0000_s1026" style="position:absolute;margin-left:70.35pt;margin-top:271pt;width:108.4pt;height: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" o:allowincell="f" stroked="f">
                <w10:wrap anchorx="page" anchory="page"/>
              </v:rect>
            </w:pict>
          </mc:Fallback>
        </mc:AlternateContent>
      </w:r>
    </w:p>
    <w:p w14:paraId="5338A077" w14:textId="77777777" w:rsidR="00993B64" w:rsidRDefault="00993B64">
      <w:pPr>
        <w:pStyle w:val="a3"/>
        <w:spacing w:line="256" w:lineRule="auto"/>
      </w:pPr>
    </w:p>
    <w:p w14:paraId="3E70CBD9" w14:textId="77777777" w:rsidR="00993B64" w:rsidRDefault="00993B64">
      <w:pPr>
        <w:pStyle w:val="a3"/>
        <w:spacing w:line="256" w:lineRule="auto"/>
      </w:pPr>
    </w:p>
    <w:p w14:paraId="08491CC7" w14:textId="77777777" w:rsidR="00993B64" w:rsidRDefault="00993B64">
      <w:pPr>
        <w:pStyle w:val="a3"/>
        <w:spacing w:line="256" w:lineRule="auto"/>
      </w:pPr>
    </w:p>
    <w:p w14:paraId="77E1A2B4" w14:textId="77777777" w:rsidR="00993B64" w:rsidRDefault="00993B64">
      <w:pPr>
        <w:pStyle w:val="a3"/>
        <w:spacing w:line="256" w:lineRule="auto"/>
      </w:pPr>
    </w:p>
    <w:p w14:paraId="262BDE3C" w14:textId="77777777" w:rsidR="00993B64" w:rsidRDefault="00993B64">
      <w:pPr>
        <w:pStyle w:val="a3"/>
        <w:spacing w:line="256" w:lineRule="auto"/>
      </w:pPr>
    </w:p>
    <w:p w14:paraId="7BF96D99" w14:textId="77777777" w:rsidR="00993B64" w:rsidRDefault="00E42547">
      <w:pPr>
        <w:ind w:firstLine="1421"/>
        <w:rPr>
          <w:rFonts w:eastAsia="宋体"/>
          <w:lang w:eastAsia="zh-CN"/>
        </w:rPr>
      </w:pPr>
      <w:r>
        <w:rPr>
          <w:rFonts w:eastAsia="宋体" w:hint="eastAsia"/>
          <w:noProof/>
          <w:lang w:eastAsia="zh-CN"/>
        </w:rPr>
        <w:drawing>
          <wp:inline distT="0" distB="0" distL="114300" distR="114300" wp14:anchorId="7E1DB4FF" wp14:editId="54B5878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2AEE8390" w14:textId="77777777" w:rsidR="00993B64" w:rsidRDefault="00E42547">
      <w:pPr>
        <w:ind w:firstLine="1421"/>
        <w:rPr>
          <w:rFonts w:ascii="微软雅黑" w:eastAsia="微软雅黑" w:hAnsi="微软雅黑" w:cs="微软雅黑" w:hint="eastAsia"/>
          <w:sz w:val="96"/>
          <w:szCs w:val="96"/>
          <w:lang w:eastAsia="zh-CN"/>
        </w:rPr>
      </w:pPr>
      <w:r>
        <w:rPr>
          <w:rFonts w:ascii="微软雅黑" w:eastAsia="微软雅黑" w:hAnsi="微软雅黑" w:cs="微软雅黑"/>
          <w:b/>
          <w:bCs/>
          <w:color w:val="FFFFFF"/>
          <w:spacing w:val="6"/>
          <w:sz w:val="96"/>
          <w:szCs w:val="96"/>
          <w:lang w:eastAsia="zh-CN"/>
        </w:rPr>
        <w:t>周度市场报告</w:t>
      </w:r>
    </w:p>
    <w:p w14:paraId="1B3A0441" w14:textId="77777777" w:rsidR="00993B64" w:rsidRDefault="00993B64">
      <w:pPr>
        <w:pStyle w:val="a3"/>
        <w:spacing w:line="244" w:lineRule="auto"/>
        <w:rPr>
          <w:lang w:eastAsia="zh-CN"/>
        </w:rPr>
      </w:pPr>
    </w:p>
    <w:p w14:paraId="1BC1FC65" w14:textId="77777777" w:rsidR="00993B64" w:rsidRDefault="00993B64">
      <w:pPr>
        <w:pStyle w:val="a3"/>
        <w:spacing w:line="244" w:lineRule="auto"/>
        <w:rPr>
          <w:lang w:eastAsia="zh-CN"/>
        </w:rPr>
      </w:pPr>
    </w:p>
    <w:p w14:paraId="7BFC6CCE" w14:textId="77777777" w:rsidR="00993B64" w:rsidRDefault="00993B64">
      <w:pPr>
        <w:pStyle w:val="a3"/>
        <w:spacing w:line="244" w:lineRule="auto"/>
        <w:rPr>
          <w:lang w:eastAsia="zh-CN"/>
        </w:rPr>
      </w:pPr>
    </w:p>
    <w:p w14:paraId="1DE70AEE" w14:textId="77777777" w:rsidR="00993B64" w:rsidRDefault="00993B64">
      <w:pPr>
        <w:pStyle w:val="a3"/>
        <w:spacing w:line="244" w:lineRule="auto"/>
        <w:rPr>
          <w:lang w:eastAsia="zh-CN"/>
        </w:rPr>
      </w:pPr>
    </w:p>
    <w:p w14:paraId="439B1C1C" w14:textId="77777777" w:rsidR="00993B64" w:rsidRDefault="00993B64">
      <w:pPr>
        <w:pStyle w:val="a3"/>
        <w:spacing w:line="244" w:lineRule="auto"/>
        <w:rPr>
          <w:lang w:eastAsia="zh-CN"/>
        </w:rPr>
      </w:pPr>
    </w:p>
    <w:p w14:paraId="30923B3C" w14:textId="77777777" w:rsidR="00993B64" w:rsidRPr="00437F13" w:rsidRDefault="00993B64">
      <w:pPr>
        <w:pStyle w:val="a3"/>
        <w:spacing w:line="244" w:lineRule="auto"/>
        <w:rPr>
          <w:lang w:eastAsia="zh-CN"/>
        </w:rPr>
      </w:pPr>
    </w:p>
    <w:p w14:paraId="74F73733" w14:textId="77777777" w:rsidR="00993B64" w:rsidRDefault="00993B64">
      <w:pPr>
        <w:pStyle w:val="a3"/>
        <w:spacing w:line="244" w:lineRule="auto"/>
        <w:rPr>
          <w:lang w:eastAsia="zh-CN"/>
        </w:rPr>
      </w:pPr>
    </w:p>
    <w:p w14:paraId="4B0D8787" w14:textId="77777777" w:rsidR="00993B64" w:rsidRDefault="00993B64">
      <w:pPr>
        <w:pStyle w:val="a3"/>
        <w:spacing w:line="244" w:lineRule="auto"/>
        <w:rPr>
          <w:lang w:eastAsia="zh-CN"/>
        </w:rPr>
      </w:pPr>
    </w:p>
    <w:p w14:paraId="61152460" w14:textId="77777777" w:rsidR="00993B64" w:rsidRDefault="00993B64">
      <w:pPr>
        <w:pStyle w:val="a3"/>
        <w:spacing w:line="245" w:lineRule="auto"/>
        <w:rPr>
          <w:lang w:eastAsia="zh-CN"/>
        </w:rPr>
      </w:pPr>
    </w:p>
    <w:p w14:paraId="03216B05" w14:textId="77777777" w:rsidR="00993B64" w:rsidRDefault="00993B64">
      <w:pPr>
        <w:pStyle w:val="a3"/>
        <w:spacing w:line="245" w:lineRule="auto"/>
        <w:rPr>
          <w:lang w:eastAsia="zh-CN"/>
        </w:rPr>
      </w:pPr>
    </w:p>
    <w:p w14:paraId="341340C3" w14:textId="77777777" w:rsidR="00993B64" w:rsidRDefault="00993B64">
      <w:pPr>
        <w:pStyle w:val="a3"/>
        <w:spacing w:line="245" w:lineRule="auto"/>
        <w:rPr>
          <w:lang w:eastAsia="zh-CN"/>
        </w:rPr>
      </w:pPr>
    </w:p>
    <w:p w14:paraId="61A8372E" w14:textId="77777777" w:rsidR="00993B64" w:rsidRDefault="00993B64">
      <w:pPr>
        <w:pStyle w:val="a3"/>
        <w:spacing w:line="245" w:lineRule="auto"/>
        <w:rPr>
          <w:lang w:eastAsia="zh-CN"/>
        </w:rPr>
      </w:pPr>
    </w:p>
    <w:p w14:paraId="0D59D55A" w14:textId="77777777" w:rsidR="00993B64" w:rsidRDefault="00993B64">
      <w:pPr>
        <w:pStyle w:val="a3"/>
        <w:spacing w:line="245" w:lineRule="auto"/>
        <w:rPr>
          <w:lang w:eastAsia="zh-CN"/>
        </w:rPr>
      </w:pPr>
    </w:p>
    <w:p w14:paraId="4A5A97EA" w14:textId="77777777" w:rsidR="00993B64" w:rsidRDefault="00993B64">
      <w:pPr>
        <w:pStyle w:val="a3"/>
        <w:spacing w:line="245" w:lineRule="auto"/>
        <w:rPr>
          <w:lang w:eastAsia="zh-CN"/>
        </w:rPr>
      </w:pPr>
    </w:p>
    <w:p w14:paraId="1082CB05" w14:textId="77777777" w:rsidR="00993B64" w:rsidRDefault="00993B64">
      <w:pPr>
        <w:pStyle w:val="a3"/>
        <w:spacing w:line="245" w:lineRule="auto"/>
        <w:rPr>
          <w:lang w:eastAsia="zh-CN"/>
        </w:rPr>
      </w:pPr>
    </w:p>
    <w:p w14:paraId="04B33E96" w14:textId="77777777" w:rsidR="00993B64" w:rsidRDefault="00993B64">
      <w:pPr>
        <w:pStyle w:val="a3"/>
        <w:spacing w:line="245" w:lineRule="auto"/>
        <w:rPr>
          <w:lang w:eastAsia="zh-CN"/>
        </w:rPr>
      </w:pPr>
    </w:p>
    <w:p w14:paraId="6B74A3B5" w14:textId="77777777" w:rsidR="00993B64" w:rsidRDefault="00993B64">
      <w:pPr>
        <w:pStyle w:val="a3"/>
        <w:spacing w:line="245" w:lineRule="auto"/>
        <w:rPr>
          <w:lang w:eastAsia="zh-CN"/>
        </w:rPr>
      </w:pPr>
    </w:p>
    <w:p w14:paraId="74B93ED4" w14:textId="77777777" w:rsidR="00993B64" w:rsidRDefault="00993B64">
      <w:pPr>
        <w:pStyle w:val="a3"/>
        <w:spacing w:line="245" w:lineRule="auto"/>
        <w:rPr>
          <w:lang w:eastAsia="zh-CN"/>
        </w:rPr>
      </w:pPr>
    </w:p>
    <w:p w14:paraId="01AC3066" w14:textId="77777777" w:rsidR="00993B64" w:rsidRDefault="00993B64">
      <w:pPr>
        <w:pStyle w:val="a3"/>
        <w:spacing w:line="245" w:lineRule="auto"/>
        <w:rPr>
          <w:lang w:eastAsia="zh-CN"/>
        </w:rPr>
      </w:pPr>
    </w:p>
    <w:p w14:paraId="45C96364" w14:textId="77777777" w:rsidR="00993B64" w:rsidRDefault="00993B64">
      <w:pPr>
        <w:pStyle w:val="a3"/>
        <w:spacing w:line="245" w:lineRule="auto"/>
        <w:rPr>
          <w:lang w:eastAsia="zh-CN"/>
        </w:rPr>
      </w:pPr>
    </w:p>
    <w:p w14:paraId="59F6BEDB" w14:textId="77777777" w:rsidR="00993B64" w:rsidRDefault="00993B64">
      <w:pPr>
        <w:pStyle w:val="a3"/>
        <w:spacing w:line="245" w:lineRule="auto"/>
        <w:rPr>
          <w:lang w:eastAsia="zh-CN"/>
        </w:rPr>
      </w:pPr>
    </w:p>
    <w:p w14:paraId="6A04CBFF" w14:textId="77777777" w:rsidR="00993B64" w:rsidRDefault="00993B64">
      <w:pPr>
        <w:pStyle w:val="a3"/>
        <w:spacing w:line="245" w:lineRule="auto"/>
        <w:rPr>
          <w:lang w:eastAsia="zh-CN"/>
        </w:rPr>
      </w:pPr>
    </w:p>
    <w:p w14:paraId="5512D9D1" w14:textId="77777777" w:rsidR="00993B64" w:rsidRDefault="00993B64">
      <w:pPr>
        <w:pStyle w:val="a3"/>
        <w:spacing w:line="245" w:lineRule="auto"/>
        <w:rPr>
          <w:lang w:eastAsia="zh-CN"/>
        </w:rPr>
      </w:pPr>
    </w:p>
    <w:p w14:paraId="4F3AFB25" w14:textId="77777777" w:rsidR="00993B64" w:rsidRDefault="00993B64">
      <w:pPr>
        <w:pStyle w:val="a3"/>
        <w:spacing w:line="245" w:lineRule="auto"/>
        <w:rPr>
          <w:lang w:eastAsia="zh-CN"/>
        </w:rPr>
      </w:pPr>
    </w:p>
    <w:p w14:paraId="24C19A94" w14:textId="77777777" w:rsidR="00993B64" w:rsidRDefault="00993B64">
      <w:pPr>
        <w:pStyle w:val="a3"/>
        <w:spacing w:line="245" w:lineRule="auto"/>
        <w:rPr>
          <w:lang w:eastAsia="zh-CN"/>
        </w:rPr>
      </w:pPr>
    </w:p>
    <w:p w14:paraId="3253D4F7" w14:textId="77777777" w:rsidR="00993B64" w:rsidRDefault="00993B64">
      <w:pPr>
        <w:pStyle w:val="a3"/>
        <w:spacing w:line="245" w:lineRule="auto"/>
        <w:rPr>
          <w:lang w:eastAsia="zh-CN"/>
        </w:rPr>
      </w:pPr>
    </w:p>
    <w:p w14:paraId="551DE038" w14:textId="77777777" w:rsidR="00993B64" w:rsidRDefault="00993B64">
      <w:pPr>
        <w:pStyle w:val="a3"/>
        <w:spacing w:line="245" w:lineRule="auto"/>
        <w:rPr>
          <w:lang w:eastAsia="zh-CN"/>
        </w:rPr>
      </w:pPr>
    </w:p>
    <w:p w14:paraId="762FB209" w14:textId="77777777" w:rsidR="00993B64" w:rsidRDefault="00993B64">
      <w:pPr>
        <w:pStyle w:val="a3"/>
        <w:spacing w:line="245" w:lineRule="auto"/>
        <w:rPr>
          <w:lang w:eastAsia="zh-CN"/>
        </w:rPr>
      </w:pPr>
    </w:p>
    <w:p w14:paraId="1ECE007A" w14:textId="77777777" w:rsidR="00993B64" w:rsidRDefault="00993B64">
      <w:pPr>
        <w:pStyle w:val="a3"/>
        <w:spacing w:line="245" w:lineRule="auto"/>
        <w:rPr>
          <w:lang w:eastAsia="zh-CN"/>
        </w:rPr>
      </w:pPr>
    </w:p>
    <w:p w14:paraId="5FF50FE0" w14:textId="77777777" w:rsidR="00993B64" w:rsidRDefault="00993B64">
      <w:pPr>
        <w:pStyle w:val="a3"/>
        <w:spacing w:line="245" w:lineRule="auto"/>
        <w:rPr>
          <w:lang w:eastAsia="zh-CN"/>
        </w:rPr>
      </w:pPr>
    </w:p>
    <w:p w14:paraId="576EF01F" w14:textId="77777777" w:rsidR="00993B64" w:rsidRDefault="00993B64">
      <w:pPr>
        <w:pStyle w:val="a3"/>
        <w:spacing w:line="245" w:lineRule="auto"/>
        <w:rPr>
          <w:lang w:eastAsia="zh-CN"/>
        </w:rPr>
      </w:pPr>
    </w:p>
    <w:p w14:paraId="55FEB6BE" w14:textId="77777777" w:rsidR="00993B64" w:rsidRDefault="00993B64">
      <w:pPr>
        <w:pStyle w:val="a3"/>
        <w:spacing w:line="245" w:lineRule="auto"/>
        <w:rPr>
          <w:lang w:eastAsia="zh-CN"/>
        </w:rPr>
      </w:pPr>
    </w:p>
    <w:p w14:paraId="27B57CED" w14:textId="77777777" w:rsidR="00993B64" w:rsidRDefault="00993B64">
      <w:pPr>
        <w:pStyle w:val="a3"/>
        <w:spacing w:line="245" w:lineRule="auto"/>
        <w:rPr>
          <w:lang w:eastAsia="zh-CN"/>
        </w:rPr>
      </w:pPr>
    </w:p>
    <w:p w14:paraId="78866B22" w14:textId="77777777" w:rsidR="00993B64" w:rsidRDefault="00993B64">
      <w:pPr>
        <w:pStyle w:val="a3"/>
        <w:spacing w:line="245" w:lineRule="auto"/>
        <w:rPr>
          <w:lang w:eastAsia="zh-CN"/>
        </w:rPr>
      </w:pPr>
    </w:p>
    <w:p w14:paraId="57C8EBCA" w14:textId="77777777" w:rsidR="00993B64" w:rsidRDefault="00993B64">
      <w:pPr>
        <w:pStyle w:val="a3"/>
        <w:spacing w:line="245" w:lineRule="auto"/>
        <w:rPr>
          <w:lang w:eastAsia="zh-CN"/>
        </w:rPr>
      </w:pPr>
    </w:p>
    <w:p w14:paraId="520A88B6" w14:textId="6FC786B1" w:rsidR="00993B64" w:rsidRDefault="00E42547">
      <w:pPr>
        <w:spacing w:before="206" w:line="204" w:lineRule="auto"/>
        <w:ind w:left="7323"/>
        <w:rPr>
          <w:sz w:val="48"/>
          <w:szCs w:val="48"/>
          <w:lang w:eastAsia="zh-CN"/>
        </w:rPr>
      </w:pPr>
      <w:r>
        <w:rPr>
          <w:rFonts w:ascii="微软雅黑" w:eastAsia="微软雅黑" w:hAnsi="微软雅黑" w:cs="微软雅黑"/>
          <w:b/>
          <w:bCs/>
          <w:color w:val="005D97"/>
          <w:spacing w:val="-22"/>
          <w:sz w:val="48"/>
          <w:szCs w:val="48"/>
          <w:lang w:eastAsia="zh-CN"/>
        </w:rPr>
        <w:t>202</w:t>
      </w:r>
      <w:r w:rsidR="0094753C">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46529F">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月</w:t>
      </w:r>
      <w:r w:rsidR="004F1D52">
        <w:rPr>
          <w:rFonts w:ascii="微软雅黑" w:eastAsia="微软雅黑" w:hAnsi="微软雅黑" w:cs="微软雅黑" w:hint="eastAsia"/>
          <w:b/>
          <w:bCs/>
          <w:color w:val="005D97"/>
          <w:spacing w:val="-22"/>
          <w:sz w:val="48"/>
          <w:szCs w:val="48"/>
          <w:lang w:eastAsia="zh-CN"/>
        </w:rPr>
        <w:t>2</w:t>
      </w:r>
      <w:r w:rsidR="00835A2B">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531C5D38" wp14:editId="023102C4">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792B9045" w14:textId="77777777" w:rsidR="00993B64" w:rsidRDefault="00993B64">
      <w:pPr>
        <w:spacing w:line="204" w:lineRule="auto"/>
        <w:rPr>
          <w:sz w:val="48"/>
          <w:szCs w:val="48"/>
          <w:lang w:eastAsia="zh-CN"/>
        </w:rPr>
        <w:sectPr w:rsidR="00993B64">
          <w:headerReference w:type="default" r:id="rId11"/>
          <w:pgSz w:w="11906" w:h="16838"/>
          <w:pgMar w:top="400" w:right="0" w:bottom="0" w:left="0" w:header="0" w:footer="340" w:gutter="0"/>
          <w:cols w:space="720"/>
        </w:sectPr>
      </w:pPr>
    </w:p>
    <w:p w14:paraId="174AA553" w14:textId="77777777" w:rsidR="00993B64" w:rsidRDefault="00E42547">
      <w:pPr>
        <w:pStyle w:val="a3"/>
        <w:spacing w:line="253" w:lineRule="auto"/>
        <w:rPr>
          <w:lang w:eastAsia="zh-CN"/>
        </w:rPr>
      </w:pPr>
      <w:r>
        <w:rPr>
          <w:noProof/>
          <w:lang w:eastAsia="zh-CN"/>
        </w:rPr>
        <w:lastRenderedPageBreak/>
        <mc:AlternateContent>
          <mc:Choice Requires="wps">
            <w:drawing>
              <wp:anchor distT="0" distB="0" distL="114300" distR="114300" simplePos="0" relativeHeight="251661312" behindDoc="0" locked="0" layoutInCell="1" allowOverlap="1" wp14:anchorId="2D43CF61" wp14:editId="1D777C3B">
                <wp:simplePos x="0" y="0"/>
                <wp:positionH relativeFrom="column">
                  <wp:posOffset>-1270</wp:posOffset>
                </wp:positionH>
                <wp:positionV relativeFrom="paragraph">
                  <wp:posOffset>128270</wp:posOffset>
                </wp:positionV>
                <wp:extent cx="1687195" cy="488315"/>
                <wp:effectExtent l="0" t="0" r="8255" b="6985"/>
                <wp:wrapNone/>
                <wp:docPr id="7" name="五边形 7"/>
                <wp:cNvGraphicFramePr/>
                <a:graphic xmlns:a="http://schemas.openxmlformats.org/drawingml/2006/main">
                  <a:graphicData uri="http://schemas.microsoft.com/office/word/2010/wordprocessingShape">
                    <wps:wsp>
                      <wps:cNvSpPr/>
                      <wps:spPr>
                        <a:xfrm>
                          <a:off x="0" y="0"/>
                          <a:ext cx="1687195" cy="488315"/>
                        </a:xfrm>
                        <a:prstGeom prst="homePlate">
                          <a:avLst/>
                        </a:prstGeom>
                        <a:solidFill>
                          <a:srgbClr val="4F80BD"/>
                        </a:solidFill>
                      </wps:spPr>
                      <wps:style>
                        <a:lnRef idx="0">
                          <a:srgbClr val="FFFFFF"/>
                        </a:lnRef>
                        <a:fillRef idx="1">
                          <a:schemeClr val="accent1"/>
                        </a:fillRef>
                        <a:effectRef idx="0">
                          <a:srgbClr val="FFFFFF"/>
                        </a:effectRef>
                        <a:fontRef idx="minor">
                          <a:schemeClr val="lt1"/>
                        </a:fontRef>
                      </wps:style>
                      <wps:txb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D43CF6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边形 7" o:spid="_x0000_s1026" type="#_x0000_t15" style="position:absolute;margin-left:-.1pt;margin-top:10.1pt;width:132.85pt;height:38.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" adj="18474" fillcolor="#4f80bd" stroked="f">
                <v:textbo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v:textbox>
              </v:shape>
            </w:pict>
          </mc:Fallback>
        </mc:AlternateContent>
      </w:r>
    </w:p>
    <w:p w14:paraId="25B5172D" w14:textId="77777777" w:rsidR="00993B64" w:rsidRDefault="00993B64">
      <w:pPr>
        <w:pStyle w:val="a3"/>
        <w:spacing w:line="253" w:lineRule="auto"/>
        <w:rPr>
          <w:lang w:eastAsia="zh-CN"/>
        </w:rPr>
      </w:pPr>
    </w:p>
    <w:p w14:paraId="2F46F1C4" w14:textId="77777777" w:rsidR="00993B64" w:rsidRPr="00751493" w:rsidRDefault="00993B64">
      <w:pPr>
        <w:spacing w:before="103" w:line="256" w:lineRule="auto"/>
        <w:ind w:right="584"/>
        <w:jc w:val="both"/>
        <w:rPr>
          <w:rFonts w:ascii="思源黑体 CN Bold" w:eastAsia="思源黑体 CN Bold" w:hAnsi="思源黑体 CN Bold" w:cs="思源黑体 CN Bold"/>
          <w:color w:val="FFFFFF" w:themeColor="background1"/>
          <w:spacing w:val="4"/>
          <w:sz w:val="24"/>
          <w:szCs w:val="24"/>
          <w:lang w:eastAsia="zh-CN"/>
        </w:rPr>
      </w:pPr>
    </w:p>
    <w:p w14:paraId="386AAD85" w14:textId="386DB4E3" w:rsidR="002379B1" w:rsidRPr="00F55725" w:rsidRDefault="002379B1" w:rsidP="009B3C7E">
      <w:pPr>
        <w:spacing w:before="102" w:line="257" w:lineRule="auto"/>
        <w:ind w:right="646" w:firstLineChars="200" w:firstLine="436"/>
        <w:rPr>
          <w:rFonts w:ascii="微软雅黑" w:eastAsia="微软雅黑" w:hAnsi="微软雅黑" w:cs="微软雅黑" w:hint="eastAsia"/>
          <w:spacing w:val="4"/>
          <w:lang w:eastAsia="zh-CN"/>
        </w:rPr>
      </w:pPr>
      <w:r w:rsidRPr="00F55725">
        <w:rPr>
          <w:rFonts w:ascii="微软雅黑" w:eastAsia="微软雅黑" w:hAnsi="微软雅黑" w:cs="微软雅黑" w:hint="eastAsia"/>
          <w:spacing w:val="4"/>
          <w:lang w:eastAsia="zh-CN"/>
        </w:rPr>
        <w:t>上周富时中国A50指数周</w:t>
      </w:r>
      <w:r w:rsidR="00835A2B">
        <w:rPr>
          <w:rFonts w:ascii="微软雅黑" w:eastAsia="微软雅黑" w:hAnsi="微软雅黑" w:cs="微软雅黑" w:hint="eastAsia"/>
          <w:spacing w:val="4"/>
          <w:lang w:eastAsia="zh-CN"/>
        </w:rPr>
        <w:t>涨4.89</w:t>
      </w:r>
      <w:r w:rsidRPr="00F55725">
        <w:rPr>
          <w:rFonts w:ascii="微软雅黑" w:eastAsia="微软雅黑" w:hAnsi="微软雅黑" w:cs="微软雅黑" w:hint="eastAsia"/>
          <w:spacing w:val="4"/>
          <w:lang w:eastAsia="zh-CN"/>
        </w:rPr>
        <w:t>%，标准普尔500指数</w:t>
      </w:r>
      <w:r w:rsidR="00BE5A44" w:rsidRPr="00F55725">
        <w:rPr>
          <w:rFonts w:ascii="微软雅黑" w:eastAsia="微软雅黑" w:hAnsi="微软雅黑" w:cs="微软雅黑" w:hint="eastAsia"/>
          <w:spacing w:val="4"/>
          <w:lang w:eastAsia="zh-CN"/>
        </w:rPr>
        <w:t>周</w:t>
      </w:r>
      <w:r w:rsidR="004F1D52">
        <w:rPr>
          <w:rFonts w:ascii="微软雅黑" w:eastAsia="微软雅黑" w:hAnsi="微软雅黑" w:cs="微软雅黑" w:hint="eastAsia"/>
          <w:spacing w:val="4"/>
          <w:lang w:eastAsia="zh-CN"/>
        </w:rPr>
        <w:t>跌</w:t>
      </w:r>
      <w:r w:rsidR="00835A2B">
        <w:rPr>
          <w:rFonts w:ascii="微软雅黑" w:eastAsia="微软雅黑" w:hAnsi="微软雅黑" w:cs="微软雅黑" w:hint="eastAsia"/>
          <w:spacing w:val="4"/>
          <w:lang w:eastAsia="zh-CN"/>
        </w:rPr>
        <w:t>0.61</w:t>
      </w:r>
      <w:r w:rsidR="006A1D1C">
        <w:rPr>
          <w:rFonts w:ascii="微软雅黑" w:eastAsia="微软雅黑" w:hAnsi="微软雅黑" w:cs="微软雅黑" w:hint="eastAsia"/>
          <w:spacing w:val="4"/>
          <w:lang w:eastAsia="zh-CN"/>
        </w:rPr>
        <w:t>%，离</w:t>
      </w:r>
      <w:r w:rsidRPr="00F55725">
        <w:rPr>
          <w:rFonts w:ascii="微软雅黑" w:eastAsia="微软雅黑" w:hAnsi="微软雅黑" w:cs="微软雅黑" w:hint="eastAsia"/>
          <w:spacing w:val="4"/>
          <w:lang w:eastAsia="zh-CN"/>
        </w:rPr>
        <w:t>岸人民币周</w:t>
      </w:r>
      <w:r w:rsidR="00E75393">
        <w:rPr>
          <w:rFonts w:ascii="微软雅黑" w:eastAsia="微软雅黑" w:hAnsi="微软雅黑" w:cs="微软雅黑" w:hint="eastAsia"/>
          <w:spacing w:val="4"/>
          <w:lang w:eastAsia="zh-CN"/>
        </w:rPr>
        <w:t>跌</w:t>
      </w:r>
      <w:r w:rsidR="00835A2B">
        <w:rPr>
          <w:rFonts w:ascii="微软雅黑" w:eastAsia="微软雅黑" w:hAnsi="微软雅黑" w:cs="微软雅黑" w:hint="eastAsia"/>
          <w:spacing w:val="4"/>
          <w:lang w:eastAsia="zh-CN"/>
        </w:rPr>
        <w:t>0.10</w:t>
      </w:r>
      <w:r w:rsidRPr="00F55725">
        <w:rPr>
          <w:rFonts w:ascii="微软雅黑" w:eastAsia="微软雅黑" w:hAnsi="微软雅黑" w:cs="微软雅黑" w:hint="eastAsia"/>
          <w:spacing w:val="4"/>
          <w:lang w:eastAsia="zh-CN"/>
        </w:rPr>
        <w:t>%</w:t>
      </w:r>
      <w:r w:rsidR="0029534B">
        <w:rPr>
          <w:rFonts w:ascii="微软雅黑" w:eastAsia="微软雅黑" w:hAnsi="微软雅黑" w:cs="微软雅黑" w:hint="eastAsia"/>
          <w:spacing w:val="4"/>
          <w:lang w:eastAsia="zh-CN"/>
        </w:rPr>
        <w:t>。</w:t>
      </w:r>
      <w:r w:rsidRPr="00F55725">
        <w:rPr>
          <w:rFonts w:ascii="微软雅黑" w:eastAsia="微软雅黑" w:hAnsi="微软雅黑" w:cs="微软雅黑" w:hint="eastAsia"/>
          <w:spacing w:val="4"/>
          <w:lang w:eastAsia="zh-CN"/>
        </w:rPr>
        <w:t>LME铜周</w:t>
      </w:r>
      <w:r w:rsidR="00E75393">
        <w:rPr>
          <w:rFonts w:ascii="微软雅黑" w:eastAsia="微软雅黑" w:hAnsi="微软雅黑" w:cs="微软雅黑" w:hint="eastAsia"/>
          <w:spacing w:val="4"/>
          <w:lang w:eastAsia="zh-CN"/>
        </w:rPr>
        <w:t>涨</w:t>
      </w:r>
      <w:r w:rsidR="00835A2B">
        <w:rPr>
          <w:rFonts w:ascii="微软雅黑" w:eastAsia="微软雅黑" w:hAnsi="微软雅黑" w:cs="微软雅黑" w:hint="eastAsia"/>
          <w:spacing w:val="4"/>
          <w:lang w:eastAsia="zh-CN"/>
        </w:rPr>
        <w:t>0.64</w:t>
      </w:r>
      <w:r w:rsidRPr="00D338AE">
        <w:rPr>
          <w:rFonts w:ascii="微软雅黑" w:eastAsia="微软雅黑" w:hAnsi="微软雅黑" w:cs="微软雅黑" w:hint="eastAsia"/>
          <w:color w:val="000000" w:themeColor="text1"/>
          <w:spacing w:val="4"/>
          <w:lang w:eastAsia="zh-CN"/>
        </w:rPr>
        <w:t>%，COMEX黄金周</w:t>
      </w:r>
      <w:r w:rsidR="00835A2B">
        <w:rPr>
          <w:rFonts w:ascii="微软雅黑" w:eastAsia="微软雅黑" w:hAnsi="微软雅黑" w:cs="微软雅黑" w:hint="eastAsia"/>
          <w:color w:val="000000" w:themeColor="text1"/>
          <w:spacing w:val="4"/>
          <w:lang w:eastAsia="zh-CN"/>
        </w:rPr>
        <w:t>涨0.92</w:t>
      </w:r>
      <w:r w:rsidRPr="00D338AE">
        <w:rPr>
          <w:rFonts w:ascii="微软雅黑" w:eastAsia="微软雅黑" w:hAnsi="微软雅黑" w:cs="微软雅黑" w:hint="eastAsia"/>
          <w:color w:val="000000" w:themeColor="text1"/>
          <w:spacing w:val="4"/>
          <w:lang w:eastAsia="zh-CN"/>
        </w:rPr>
        <w:t>%，COMEX白银周</w:t>
      </w:r>
      <w:r w:rsidR="00835A2B">
        <w:rPr>
          <w:rFonts w:ascii="微软雅黑" w:eastAsia="微软雅黑" w:hAnsi="微软雅黑" w:cs="微软雅黑" w:hint="eastAsia"/>
          <w:color w:val="000000" w:themeColor="text1"/>
          <w:spacing w:val="4"/>
          <w:lang w:eastAsia="zh-CN"/>
        </w:rPr>
        <w:t>涨3.84</w:t>
      </w:r>
      <w:r w:rsidRPr="00D338AE">
        <w:rPr>
          <w:rFonts w:ascii="微软雅黑" w:eastAsia="微软雅黑" w:hAnsi="微软雅黑" w:cs="微软雅黑" w:hint="eastAsia"/>
          <w:color w:val="000000" w:themeColor="text1"/>
          <w:spacing w:val="4"/>
          <w:lang w:eastAsia="zh-CN"/>
        </w:rPr>
        <w:t>%。WTI原油周</w:t>
      </w:r>
      <w:r w:rsidR="003E0237">
        <w:rPr>
          <w:rFonts w:ascii="微软雅黑" w:eastAsia="微软雅黑" w:hAnsi="微软雅黑" w:cs="微软雅黑" w:hint="eastAsia"/>
          <w:color w:val="000000" w:themeColor="text1"/>
          <w:spacing w:val="4"/>
          <w:lang w:eastAsia="zh-CN"/>
        </w:rPr>
        <w:t>涨</w:t>
      </w:r>
      <w:r w:rsidR="00835A2B">
        <w:rPr>
          <w:rFonts w:ascii="微软雅黑" w:eastAsia="微软雅黑" w:hAnsi="微软雅黑" w:cs="微软雅黑" w:hint="eastAsia"/>
          <w:color w:val="000000" w:themeColor="text1"/>
          <w:spacing w:val="4"/>
          <w:lang w:eastAsia="zh-CN"/>
        </w:rPr>
        <w:t>10.63</w:t>
      </w:r>
      <w:r w:rsidRPr="00D338AE">
        <w:rPr>
          <w:rFonts w:ascii="微软雅黑" w:eastAsia="微软雅黑" w:hAnsi="微软雅黑" w:cs="微软雅黑" w:hint="eastAsia"/>
          <w:color w:val="000000" w:themeColor="text1"/>
          <w:spacing w:val="4"/>
          <w:lang w:eastAsia="zh-CN"/>
        </w:rPr>
        <w:t>%。ICE原糖期货</w:t>
      </w:r>
      <w:r w:rsidR="00F562AA" w:rsidRPr="00D338AE">
        <w:rPr>
          <w:rFonts w:ascii="微软雅黑" w:eastAsia="微软雅黑" w:hAnsi="微软雅黑" w:cs="微软雅黑" w:hint="eastAsia"/>
          <w:color w:val="000000" w:themeColor="text1"/>
          <w:spacing w:val="4"/>
          <w:lang w:eastAsia="zh-CN"/>
        </w:rPr>
        <w:t>主力合约</w:t>
      </w:r>
      <w:r w:rsidRPr="00D338AE">
        <w:rPr>
          <w:rFonts w:ascii="微软雅黑" w:eastAsia="微软雅黑" w:hAnsi="微软雅黑" w:cs="微软雅黑" w:hint="eastAsia"/>
          <w:color w:val="000000" w:themeColor="text1"/>
          <w:spacing w:val="4"/>
          <w:lang w:eastAsia="zh-CN"/>
        </w:rPr>
        <w:t>周</w:t>
      </w:r>
      <w:r w:rsidR="004F1D52">
        <w:rPr>
          <w:rFonts w:ascii="微软雅黑" w:eastAsia="微软雅黑" w:hAnsi="微软雅黑" w:cs="微软雅黑" w:hint="eastAsia"/>
          <w:color w:val="000000" w:themeColor="text1"/>
          <w:spacing w:val="4"/>
          <w:lang w:eastAsia="zh-CN"/>
        </w:rPr>
        <w:t>跌0.4</w:t>
      </w:r>
      <w:r w:rsidR="00825919">
        <w:rPr>
          <w:rFonts w:ascii="微软雅黑" w:eastAsia="微软雅黑" w:hAnsi="微软雅黑" w:cs="微软雅黑" w:hint="eastAsia"/>
          <w:color w:val="000000" w:themeColor="text1"/>
          <w:spacing w:val="4"/>
          <w:lang w:eastAsia="zh-CN"/>
        </w:rPr>
        <w:t>7</w:t>
      </w:r>
      <w:r w:rsidRPr="00D338AE">
        <w:rPr>
          <w:rFonts w:ascii="微软雅黑" w:eastAsia="微软雅黑" w:hAnsi="微软雅黑" w:cs="微软雅黑" w:hint="eastAsia"/>
          <w:color w:val="000000" w:themeColor="text1"/>
          <w:spacing w:val="4"/>
          <w:lang w:eastAsia="zh-CN"/>
        </w:rPr>
        <w:t>%，ICE棉</w:t>
      </w:r>
      <w:r w:rsidR="00F562AA" w:rsidRPr="00D338AE">
        <w:rPr>
          <w:rFonts w:ascii="微软雅黑" w:eastAsia="微软雅黑" w:hAnsi="微软雅黑" w:cs="微软雅黑" w:hint="eastAsia"/>
          <w:color w:val="000000" w:themeColor="text1"/>
          <w:spacing w:val="4"/>
          <w:lang w:eastAsia="zh-CN"/>
        </w:rPr>
        <w:t>主力合约</w:t>
      </w:r>
      <w:r w:rsidRPr="00D338AE">
        <w:rPr>
          <w:rFonts w:ascii="微软雅黑" w:eastAsia="微软雅黑" w:hAnsi="微软雅黑" w:cs="微软雅黑" w:hint="eastAsia"/>
          <w:color w:val="000000" w:themeColor="text1"/>
          <w:spacing w:val="4"/>
          <w:lang w:eastAsia="zh-CN"/>
        </w:rPr>
        <w:t>周</w:t>
      </w:r>
      <w:r w:rsidR="00825919">
        <w:rPr>
          <w:rFonts w:ascii="微软雅黑" w:eastAsia="微软雅黑" w:hAnsi="微软雅黑" w:cs="微软雅黑" w:hint="eastAsia"/>
          <w:color w:val="000000" w:themeColor="text1"/>
          <w:spacing w:val="4"/>
          <w:lang w:eastAsia="zh-CN"/>
        </w:rPr>
        <w:t>涨1.60</w:t>
      </w:r>
      <w:r w:rsidR="001B4B2C" w:rsidRPr="00D338AE">
        <w:rPr>
          <w:rFonts w:ascii="微软雅黑" w:eastAsia="微软雅黑" w:hAnsi="微软雅黑" w:cs="微软雅黑" w:hint="eastAsia"/>
          <w:color w:val="000000" w:themeColor="text1"/>
          <w:spacing w:val="4"/>
          <w:lang w:eastAsia="zh-CN"/>
        </w:rPr>
        <w:t>%</w:t>
      </w:r>
      <w:r w:rsidRPr="00D338AE">
        <w:rPr>
          <w:rFonts w:ascii="微软雅黑" w:eastAsia="微软雅黑" w:hAnsi="微软雅黑" w:cs="微软雅黑" w:hint="eastAsia"/>
          <w:color w:val="000000" w:themeColor="text1"/>
          <w:spacing w:val="4"/>
          <w:lang w:eastAsia="zh-CN"/>
        </w:rPr>
        <w:t>，MB铁矿</w:t>
      </w:r>
      <w:r w:rsidRPr="00F55725">
        <w:rPr>
          <w:rFonts w:ascii="微软雅黑" w:eastAsia="微软雅黑" w:hAnsi="微软雅黑" w:cs="微软雅黑" w:hint="eastAsia"/>
          <w:spacing w:val="4"/>
          <w:lang w:eastAsia="zh-CN"/>
        </w:rPr>
        <w:t>石</w:t>
      </w:r>
      <w:r w:rsidR="0073267E">
        <w:rPr>
          <w:rFonts w:ascii="微软雅黑" w:eastAsia="微软雅黑" w:hAnsi="微软雅黑" w:cs="微软雅黑" w:hint="eastAsia"/>
          <w:spacing w:val="4"/>
          <w:lang w:eastAsia="zh-CN"/>
        </w:rPr>
        <w:t>周</w:t>
      </w:r>
      <w:r w:rsidR="00825919">
        <w:rPr>
          <w:rFonts w:ascii="微软雅黑" w:eastAsia="微软雅黑" w:hAnsi="微软雅黑" w:cs="微软雅黑" w:hint="eastAsia"/>
          <w:spacing w:val="4"/>
          <w:lang w:eastAsia="zh-CN"/>
        </w:rPr>
        <w:t>跌2.10</w:t>
      </w:r>
      <w:r w:rsidRPr="00F55725">
        <w:rPr>
          <w:rFonts w:ascii="微软雅黑" w:eastAsia="微软雅黑" w:hAnsi="微软雅黑" w:cs="微软雅黑" w:hint="eastAsia"/>
          <w:spacing w:val="4"/>
          <w:lang w:eastAsia="zh-CN"/>
        </w:rPr>
        <w:t>%。</w:t>
      </w:r>
    </w:p>
    <w:p w14:paraId="07AA11A4" w14:textId="273FE3C0" w:rsidR="00993B64" w:rsidRPr="00777176" w:rsidRDefault="00E42547">
      <w:pPr>
        <w:spacing w:before="235" w:line="176" w:lineRule="auto"/>
        <w:ind w:firstLineChars="100" w:firstLine="224"/>
        <w:rPr>
          <w:rFonts w:ascii="微软雅黑" w:eastAsia="微软雅黑" w:hAnsi="微软雅黑" w:cs="微软雅黑" w:hint="eastAsia"/>
          <w:spacing w:val="7"/>
          <w:sz w:val="24"/>
          <w:szCs w:val="24"/>
          <w:lang w:eastAsia="zh-CN"/>
        </w:rPr>
      </w:pPr>
      <w:r w:rsidRPr="00F55725">
        <w:rPr>
          <w:rFonts w:ascii="微软雅黑" w:eastAsia="微软雅黑" w:hAnsi="微软雅黑" w:cs="微软雅黑"/>
          <w:spacing w:val="7"/>
          <w:lang w:eastAsia="zh-CN"/>
        </w:rPr>
        <w:t>图表1</w:t>
      </w:r>
      <w:r w:rsidRPr="00F55725">
        <w:rPr>
          <w:rFonts w:ascii="微软雅黑" w:eastAsia="微软雅黑" w:hAnsi="微软雅黑" w:cs="微软雅黑" w:hint="eastAsia"/>
          <w:spacing w:val="7"/>
          <w:lang w:eastAsia="zh-CN"/>
        </w:rPr>
        <w:t>：</w:t>
      </w:r>
      <w:r w:rsidRPr="00F55725">
        <w:rPr>
          <w:rFonts w:ascii="微软雅黑" w:eastAsia="微软雅黑" w:hAnsi="微软雅黑" w:cs="微软雅黑"/>
          <w:spacing w:val="7"/>
          <w:lang w:eastAsia="zh-CN"/>
        </w:rPr>
        <w:t>全球</w:t>
      </w:r>
      <w:r w:rsidR="002503E6" w:rsidRPr="00F55725">
        <w:rPr>
          <w:rFonts w:ascii="微软雅黑" w:eastAsia="微软雅黑" w:hAnsi="微软雅黑" w:cs="微软雅黑" w:hint="eastAsia"/>
          <w:spacing w:val="7"/>
          <w:lang w:eastAsia="zh-CN"/>
        </w:rPr>
        <w:t>资产</w:t>
      </w:r>
      <w:r w:rsidRPr="00F55725">
        <w:rPr>
          <w:rFonts w:ascii="微软雅黑" w:eastAsia="微软雅黑" w:hAnsi="微软雅黑" w:cs="微软雅黑"/>
          <w:spacing w:val="7"/>
          <w:lang w:eastAsia="zh-CN"/>
        </w:rPr>
        <w:t>涨跌幅</w:t>
      </w:r>
    </w:p>
    <w:p w14:paraId="227387B0" w14:textId="1424F43A" w:rsidR="00993B64" w:rsidRPr="00184E17" w:rsidRDefault="00835A2B" w:rsidP="00EB09FD">
      <w:pPr>
        <w:spacing w:before="235" w:line="176" w:lineRule="auto"/>
        <w:ind w:firstLineChars="100" w:firstLine="240"/>
        <w:jc w:val="center"/>
        <w:rPr>
          <w:rFonts w:ascii="微软雅黑" w:eastAsia="微软雅黑" w:hAnsi="微软雅黑" w:cs="微软雅黑" w:hint="eastAsia"/>
          <w:spacing w:val="7"/>
          <w:sz w:val="24"/>
          <w:szCs w:val="24"/>
          <w:lang w:eastAsia="zh-CN"/>
        </w:rPr>
      </w:pPr>
      <w:r>
        <w:rPr>
          <w:rFonts w:ascii="Times New Roman" w:eastAsia="Times New Roman" w:hAnsi="Times New Roman" w:cs="Times New Roman"/>
          <w:noProof/>
          <w:snapToGrid/>
          <w:color w:val="auto"/>
          <w:sz w:val="24"/>
          <w:szCs w:val="24"/>
          <w:lang w:val="en-CA" w:eastAsia="zh-CN"/>
        </w:rPr>
        <w:drawing>
          <wp:inline distT="0" distB="0" distL="0" distR="0" wp14:anchorId="0D1ACC50" wp14:editId="1578A246">
            <wp:extent cx="6397949" cy="3985425"/>
            <wp:effectExtent l="0" t="0" r="3175" b="0"/>
            <wp:docPr id="37552025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12421" cy="3994440"/>
                    </a:xfrm>
                    <a:prstGeom prst="rect">
                      <a:avLst/>
                    </a:prstGeom>
                    <a:noFill/>
                  </pic:spPr>
                </pic:pic>
              </a:graphicData>
            </a:graphic>
          </wp:inline>
        </w:drawing>
      </w:r>
      <w:r w:rsidR="00A10B81" w:rsidRPr="00A10B81">
        <w:rPr>
          <w:rFonts w:ascii="Times New Roman" w:eastAsia="Times New Roman" w:hAnsi="Times New Roman" w:cs="Times New Roman"/>
          <w:snapToGrid/>
          <w:color w:val="auto"/>
          <w:sz w:val="24"/>
          <w:szCs w:val="24"/>
          <w:lang w:val="en-CA" w:eastAsia="zh-CN"/>
        </w:rPr>
        <w:fldChar w:fldCharType="begin"/>
      </w:r>
      <w:r w:rsidR="00A10B81" w:rsidRPr="00A10B81">
        <w:rPr>
          <w:rFonts w:ascii="Times New Roman" w:eastAsia="Times New Roman" w:hAnsi="Times New Roman" w:cs="Times New Roman"/>
          <w:snapToGrid/>
          <w:color w:val="auto"/>
          <w:sz w:val="24"/>
          <w:szCs w:val="24"/>
          <w:lang w:val="en-CA" w:eastAsia="zh-CN"/>
        </w:rPr>
        <w:instrText xml:space="preserve"> INCLUDEPICTURE "http://www.kdocs.cn/api/v3/office/copy/WFA1cHgwb3JjNGJNZVllSzRWVlNEQUFVSWhkVUlsZjVBbzFPU3E5U1VRS3FQOFlIK2VGQ2FHV1k4c2orTjRYQ3ZwQ2RxRUl0bDNKeWtkVGRlTE5Pb25KVnAvZ2xNTG10aTE2LzlmZ3lQbCtnRmJpY2FWR21rbTlUd0RmOWJTODh6bDRFdE9YcWp6bFY0NGNMNElpNVI1UGZ4RFE5KzFxU1FzMWVTYURJVXZMQlRFemN1Qi9HYzJ1T3hWY0hNU1NFSkFVSExVbGtqQXVScGV2WUhUVTgzTk1FUmU3TWs1S1dPbEVFa0hBUmdCVFh6by9YRlhGTWdyVjdKZGhtZTVpVlpIUjBrSDBuRE1zPQ==/attach/object/4b366a93a76b25003ce42962240240eb44d40045?" \* MERGEFORMATINET </w:instrText>
      </w:r>
      <w:r w:rsidR="00A10B81" w:rsidRPr="00A10B81">
        <w:rPr>
          <w:rFonts w:ascii="Times New Roman" w:eastAsia="Times New Roman" w:hAnsi="Times New Roman" w:cs="Times New Roman"/>
          <w:snapToGrid/>
          <w:color w:val="auto"/>
          <w:sz w:val="24"/>
          <w:szCs w:val="24"/>
          <w:lang w:val="en-CA" w:eastAsia="zh-CN"/>
        </w:rPr>
        <w:fldChar w:fldCharType="end"/>
      </w:r>
    </w:p>
    <w:p w14:paraId="57AB6138" w14:textId="54C105AF" w:rsidR="00993B64" w:rsidRPr="00F55725" w:rsidRDefault="00E42547" w:rsidP="00AC743F">
      <w:pPr>
        <w:spacing w:before="235" w:line="176" w:lineRule="auto"/>
        <w:ind w:firstLineChars="100" w:firstLine="224"/>
        <w:rPr>
          <w:rFonts w:ascii="微软雅黑" w:eastAsia="微软雅黑" w:hAnsi="微软雅黑" w:cs="微软雅黑" w:hint="eastAsia"/>
          <w:lang w:eastAsia="zh-CN"/>
        </w:rPr>
      </w:pPr>
      <w:r w:rsidRPr="00F55725">
        <w:rPr>
          <w:rFonts w:ascii="微软雅黑" w:eastAsia="微软雅黑" w:hAnsi="微软雅黑" w:cs="微软雅黑" w:hint="eastAsia"/>
          <w:spacing w:val="7"/>
          <w:lang w:eastAsia="zh-CN"/>
        </w:rPr>
        <w:t>资料来源：公开资料整理，瑞达国际</w:t>
      </w:r>
    </w:p>
    <w:p w14:paraId="2DF3CE5D" w14:textId="77777777" w:rsidR="00590521" w:rsidRPr="004B7178" w:rsidRDefault="00590521">
      <w:pPr>
        <w:pStyle w:val="a3"/>
        <w:spacing w:line="282" w:lineRule="auto"/>
        <w:rPr>
          <w:rFonts w:eastAsiaTheme="minorEastAsia"/>
          <w:lang w:eastAsia="zh-CN"/>
        </w:rPr>
      </w:pPr>
    </w:p>
    <w:p w14:paraId="115759EA" w14:textId="6BAE65C7" w:rsidR="00086C67" w:rsidRDefault="00E42547" w:rsidP="00086C67">
      <w:pPr>
        <w:pStyle w:val="a9"/>
        <w:numPr>
          <w:ilvl w:val="0"/>
          <w:numId w:val="1"/>
        </w:numPr>
        <w:spacing w:before="120" w:line="190" w:lineRule="auto"/>
        <w:ind w:firstLineChars="0"/>
        <w:rPr>
          <w:rFonts w:ascii="微软雅黑" w:eastAsia="微软雅黑" w:hAnsi="微软雅黑" w:cs="微软雅黑" w:hint="eastAsia"/>
          <w:b/>
          <w:bCs/>
          <w:color w:val="036EB8"/>
          <w:spacing w:val="10"/>
          <w:sz w:val="28"/>
          <w:szCs w:val="28"/>
          <w:lang w:eastAsia="zh-CN"/>
        </w:rPr>
      </w:pPr>
      <w:r w:rsidRPr="00FC40D2">
        <w:rPr>
          <w:rFonts w:ascii="微软雅黑" w:eastAsia="微软雅黑" w:hAnsi="微软雅黑" w:cs="微软雅黑"/>
          <w:b/>
          <w:bCs/>
          <w:color w:val="036EB8"/>
          <w:spacing w:val="10"/>
          <w:sz w:val="28"/>
          <w:szCs w:val="28"/>
          <w:lang w:eastAsia="zh-CN"/>
        </w:rPr>
        <w:t>周度事件汇总</w:t>
      </w:r>
    </w:p>
    <w:p w14:paraId="7830E7FE" w14:textId="7DBC8E7B" w:rsidR="003E0237" w:rsidRPr="00825919" w:rsidRDefault="003E0237" w:rsidP="001348E6">
      <w:pPr>
        <w:pStyle w:val="a9"/>
        <w:rPr>
          <w:rFonts w:ascii="微软雅黑" w:eastAsia="微软雅黑" w:hAnsi="微软雅黑" w:cs="微软雅黑" w:hint="eastAsia"/>
          <w:lang w:eastAsia="zh-CN"/>
        </w:rPr>
      </w:pPr>
      <w:r>
        <w:rPr>
          <w:rFonts w:ascii="微软雅黑" w:eastAsia="微软雅黑" w:hAnsi="微软雅黑" w:cs="微软雅黑" w:hint="eastAsia"/>
          <w:lang w:eastAsia="zh-CN"/>
        </w:rPr>
        <w:t>【</w:t>
      </w:r>
      <w:r w:rsidR="00825919" w:rsidRPr="00825919">
        <w:rPr>
          <w:rFonts w:ascii="微软雅黑" w:eastAsia="微软雅黑" w:hAnsi="微软雅黑" w:cs="微软雅黑"/>
          <w:lang w:eastAsia="zh-CN"/>
        </w:rPr>
        <w:t>持续近两周、烈度不断升级的美军对伊朗空袭行动现已暂停，多方同步推进外交斡旋，力图阻止冲突演变为全面战争。一名参与调停的匿名地区官员称，美伊双方均有意恢复临时停火协议，目前磋商的折中方案核心内容为：由伊朗管控霍尔木兹海峡通航，同时放宽对过往船只限制。</w:t>
      </w:r>
      <w:r w:rsidRPr="00825919">
        <w:rPr>
          <w:rFonts w:ascii="微软雅黑" w:eastAsia="微软雅黑" w:hAnsi="微软雅黑" w:cs="微软雅黑" w:hint="eastAsia"/>
          <w:lang w:eastAsia="zh-CN"/>
        </w:rPr>
        <w:t>】</w:t>
      </w:r>
    </w:p>
    <w:p w14:paraId="1C4AF8BB" w14:textId="2AE018CD" w:rsidR="004F1D52" w:rsidRPr="00825919" w:rsidRDefault="004F1D52" w:rsidP="001348E6">
      <w:pPr>
        <w:pStyle w:val="a9"/>
        <w:rPr>
          <w:rFonts w:ascii="微软雅黑" w:eastAsia="微软雅黑" w:hAnsi="微软雅黑" w:cs="微软雅黑" w:hint="eastAsia"/>
          <w:lang w:eastAsia="zh-CN"/>
        </w:rPr>
      </w:pPr>
      <w:r w:rsidRPr="00825919">
        <w:rPr>
          <w:rFonts w:ascii="微软雅黑" w:eastAsia="微软雅黑" w:hAnsi="微软雅黑" w:cs="微软雅黑" w:hint="eastAsia"/>
          <w:lang w:eastAsia="zh-CN"/>
        </w:rPr>
        <w:t>【</w:t>
      </w:r>
      <w:r w:rsidR="00825919" w:rsidRPr="00825919">
        <w:rPr>
          <w:rFonts w:ascii="微软雅黑" w:eastAsia="微软雅黑" w:hAnsi="微软雅黑" w:cs="微软雅黑"/>
          <w:lang w:eastAsia="zh-CN"/>
        </w:rPr>
        <w:t>伊朗外交部发言人巴加埃表示，伊方与阿曼就霍尔木兹海峡安全通航管控机制的谈判取得进展，海峡船舶通行状况并未出现任何变动。伊朗与美国之间信息交流仍在持续，斡旋方也正继续开展相关工作。</w:t>
      </w:r>
      <w:r w:rsidRPr="00825919">
        <w:rPr>
          <w:rFonts w:ascii="微软雅黑" w:eastAsia="微软雅黑" w:hAnsi="微软雅黑" w:cs="微软雅黑" w:hint="eastAsia"/>
          <w:lang w:eastAsia="zh-CN"/>
        </w:rPr>
        <w:t>】</w:t>
      </w:r>
    </w:p>
    <w:p w14:paraId="725E18F3" w14:textId="69F1EFCD" w:rsidR="004F1D52" w:rsidRPr="00825919" w:rsidRDefault="004F1D52" w:rsidP="001348E6">
      <w:pPr>
        <w:pStyle w:val="a9"/>
        <w:rPr>
          <w:rFonts w:ascii="微软雅黑" w:eastAsia="微软雅黑" w:hAnsi="微软雅黑" w:cs="微软雅黑" w:hint="eastAsia"/>
          <w:lang w:eastAsia="zh-CN"/>
        </w:rPr>
      </w:pPr>
      <w:r w:rsidRPr="00825919">
        <w:rPr>
          <w:rFonts w:ascii="微软雅黑" w:eastAsia="微软雅黑" w:hAnsi="微软雅黑" w:cs="微软雅黑" w:hint="eastAsia"/>
          <w:lang w:eastAsia="zh-CN"/>
        </w:rPr>
        <w:t>【</w:t>
      </w:r>
      <w:r w:rsidR="00825919" w:rsidRPr="00825919">
        <w:rPr>
          <w:rFonts w:ascii="微软雅黑" w:eastAsia="微软雅黑" w:hAnsi="微软雅黑" w:cs="微软雅黑"/>
          <w:lang w:eastAsia="zh-CN"/>
        </w:rPr>
        <w:t>美国总统特朗普在白宫谈及对伊朗战争的“退出战略”时表示，美国有两种选择：一是继续当前军事行动，并可能加大打击力度，逐步摧毁伊朗的军事能力；二是通过谈判达成协议。特朗普称，伊朗方面希望达成协议，但目前“还没有准备好”。美国可以继续按现有方式行动，也可以更迅速地加强打击。美方目前仍在与伊朗进行谈判。</w:t>
      </w:r>
      <w:r w:rsidRPr="00825919">
        <w:rPr>
          <w:rFonts w:ascii="微软雅黑" w:eastAsia="微软雅黑" w:hAnsi="微软雅黑" w:cs="微软雅黑" w:hint="eastAsia"/>
          <w:lang w:eastAsia="zh-CN"/>
        </w:rPr>
        <w:t>】</w:t>
      </w:r>
    </w:p>
    <w:p w14:paraId="3BDEACDA" w14:textId="313144DC" w:rsidR="003E0237" w:rsidRPr="00825919" w:rsidRDefault="003E0237" w:rsidP="001348E6">
      <w:pPr>
        <w:pStyle w:val="a9"/>
        <w:rPr>
          <w:rFonts w:ascii="微软雅黑" w:eastAsia="微软雅黑" w:hAnsi="微软雅黑" w:cs="微软雅黑"/>
          <w:lang w:eastAsia="zh-CN"/>
        </w:rPr>
      </w:pPr>
      <w:r w:rsidRPr="00825919">
        <w:rPr>
          <w:rFonts w:ascii="微软雅黑" w:eastAsia="微软雅黑" w:hAnsi="微软雅黑" w:cs="微软雅黑" w:hint="eastAsia"/>
          <w:lang w:eastAsia="zh-CN"/>
        </w:rPr>
        <w:lastRenderedPageBreak/>
        <w:t>【</w:t>
      </w:r>
      <w:r w:rsidR="00825919" w:rsidRPr="00825919">
        <w:rPr>
          <w:rFonts w:ascii="微软雅黑" w:eastAsia="微软雅黑" w:hAnsi="微软雅黑" w:cs="微软雅黑"/>
          <w:lang w:eastAsia="zh-CN"/>
        </w:rPr>
        <w:t>消息人士称，巴基斯坦正在探索推动重启陷入停滞的美伊谈判。目前，美国已连续14天对伊朗发动军事打击，伊朗则对美国在中东多国的军事目标实施报复性袭击。也门胡塞武装发言人称，曼德海峡并未被关闭，近期宣布的海上措施仅针对与沙特有关的航运。</w:t>
      </w:r>
      <w:r w:rsidRPr="00825919">
        <w:rPr>
          <w:rFonts w:ascii="微软雅黑" w:eastAsia="微软雅黑" w:hAnsi="微软雅黑" w:cs="微软雅黑" w:hint="eastAsia"/>
          <w:lang w:eastAsia="zh-CN"/>
        </w:rPr>
        <w:t>】</w:t>
      </w:r>
    </w:p>
    <w:p w14:paraId="7DC139D4" w14:textId="28E82229" w:rsidR="00825919" w:rsidRPr="00825919" w:rsidRDefault="00825919" w:rsidP="001348E6">
      <w:pPr>
        <w:pStyle w:val="a9"/>
        <w:rPr>
          <w:rFonts w:ascii="微软雅黑" w:eastAsia="微软雅黑" w:hAnsi="微软雅黑" w:cs="微软雅黑"/>
          <w:lang w:eastAsia="zh-CN"/>
        </w:rPr>
      </w:pPr>
      <w:r w:rsidRPr="00825919">
        <w:rPr>
          <w:rFonts w:ascii="微软雅黑" w:eastAsia="微软雅黑" w:hAnsi="微软雅黑" w:cs="微软雅黑" w:hint="eastAsia"/>
          <w:lang w:eastAsia="zh-CN"/>
        </w:rPr>
        <w:t>【</w:t>
      </w:r>
      <w:r w:rsidRPr="00825919">
        <w:rPr>
          <w:rFonts w:ascii="微软雅黑" w:eastAsia="微软雅黑" w:hAnsi="微软雅黑" w:cs="微软雅黑"/>
          <w:lang w:eastAsia="zh-CN"/>
        </w:rPr>
        <w:t>美国总统特朗普表示，正在认真考虑在伊朗重新启动重大军事行动，此轮军事行动规模将超越此前的“史诗愤怒”行动，并强调美军已对此做好全方位准备。特朗普同时透露，如果美方提出要求，以色列将迅速加入军事行动。美国国会众议院再次投票通过一项决议，要求特朗普政府停止对伊朗战争。伊朗军方消息人士称，伊朗军方已推演多种美军进攻场景，并为应对美军地面入侵做好准备。</w:t>
      </w:r>
      <w:r w:rsidRPr="00825919">
        <w:rPr>
          <w:rFonts w:ascii="微软雅黑" w:eastAsia="微软雅黑" w:hAnsi="微软雅黑" w:cs="微软雅黑" w:hint="eastAsia"/>
          <w:lang w:eastAsia="zh-CN"/>
        </w:rPr>
        <w:t>】</w:t>
      </w:r>
    </w:p>
    <w:p w14:paraId="6B91A75A" w14:textId="262B259E" w:rsidR="00825919" w:rsidRPr="00825919" w:rsidRDefault="00825919" w:rsidP="001348E6">
      <w:pPr>
        <w:pStyle w:val="a9"/>
        <w:rPr>
          <w:rFonts w:ascii="微软雅黑" w:eastAsia="微软雅黑" w:hAnsi="微软雅黑" w:cs="微软雅黑" w:hint="eastAsia"/>
          <w:lang w:eastAsia="zh-CN"/>
        </w:rPr>
      </w:pPr>
      <w:r w:rsidRPr="00825919">
        <w:rPr>
          <w:rFonts w:ascii="微软雅黑" w:eastAsia="微软雅黑" w:hAnsi="微软雅黑" w:cs="微软雅黑" w:hint="eastAsia"/>
          <w:lang w:eastAsia="zh-CN"/>
        </w:rPr>
        <w:t>【</w:t>
      </w:r>
      <w:r w:rsidRPr="00825919">
        <w:rPr>
          <w:rFonts w:ascii="微软雅黑" w:eastAsia="微软雅黑" w:hAnsi="微软雅黑" w:cs="微软雅黑"/>
          <w:lang w:eastAsia="zh-CN"/>
        </w:rPr>
        <w:t>伊朗伊斯兰议会议长卡利巴夫表示，霍尔木兹海峡局势不会恢复至战前状态。伊朗武装部队哈塔姆安比亚中央总部发布声明称，美方再次威胁要打击伊朗国家基础设施。霍尔木兹海峡仍处于关闭状态。若有船只确需通过该海峡，必须按照此前公布的指定航线和程序通行。声明指出，如果美国将其威胁付诸行动，伊朗武装力量将不允许本地区出口一滴石油，地区内的石油、天然气、电力及经济基础设施都将成为打击目标。</w:t>
      </w:r>
      <w:r w:rsidRPr="00825919">
        <w:rPr>
          <w:rFonts w:ascii="微软雅黑" w:eastAsia="微软雅黑" w:hAnsi="微软雅黑" w:cs="微软雅黑" w:hint="eastAsia"/>
          <w:lang w:eastAsia="zh-CN"/>
        </w:rPr>
        <w:t>】</w:t>
      </w:r>
    </w:p>
    <w:p w14:paraId="2AB7AC2E" w14:textId="0BEBB187" w:rsidR="004E3CEF" w:rsidRPr="00825919" w:rsidRDefault="004E3CEF" w:rsidP="001348E6">
      <w:pPr>
        <w:pStyle w:val="a9"/>
        <w:rPr>
          <w:rFonts w:ascii="微软雅黑" w:eastAsia="微软雅黑" w:hAnsi="微软雅黑" w:cs="微软雅黑"/>
          <w:lang w:eastAsia="zh-CN"/>
        </w:rPr>
      </w:pPr>
      <w:r w:rsidRPr="00825919">
        <w:rPr>
          <w:rFonts w:ascii="微软雅黑" w:eastAsia="微软雅黑" w:hAnsi="微软雅黑" w:cs="微软雅黑" w:hint="eastAsia"/>
          <w:lang w:eastAsia="zh-CN"/>
        </w:rPr>
        <w:t>【</w:t>
      </w:r>
      <w:r w:rsidR="00825919" w:rsidRPr="00825919">
        <w:rPr>
          <w:rFonts w:ascii="微软雅黑" w:eastAsia="微软雅黑" w:hAnsi="微软雅黑" w:cs="微软雅黑"/>
          <w:lang w:eastAsia="zh-CN"/>
        </w:rPr>
        <w:t>美国贸易代表办公室发布公告，依据《1974年贸易法》第301条，以所谓“强迫劳动”为名对数十个国家和地区加征10%至12.5%的关税，以替代即将到期的全球进口关税。新关税将于美国东部时间7月24日生效。据了解，本次加征关税时，石油、天然气、化肥、食品得到豁免。美国贸易办公室宣称，本次将对60个经济体征税。</w:t>
      </w:r>
      <w:r w:rsidRPr="00825919">
        <w:rPr>
          <w:rFonts w:ascii="微软雅黑" w:eastAsia="微软雅黑" w:hAnsi="微软雅黑" w:cs="微软雅黑" w:hint="eastAsia"/>
          <w:lang w:eastAsia="zh-CN"/>
        </w:rPr>
        <w:t>】</w:t>
      </w:r>
    </w:p>
    <w:p w14:paraId="57FAC510" w14:textId="6F76288A" w:rsidR="00825919" w:rsidRPr="00825919" w:rsidRDefault="00825919" w:rsidP="001348E6">
      <w:pPr>
        <w:pStyle w:val="a9"/>
        <w:rPr>
          <w:rFonts w:ascii="微软雅黑" w:eastAsia="微软雅黑" w:hAnsi="微软雅黑" w:cs="微软雅黑" w:hint="eastAsia"/>
          <w:lang w:eastAsia="zh-CN"/>
        </w:rPr>
      </w:pPr>
      <w:r w:rsidRPr="00825919">
        <w:rPr>
          <w:rFonts w:ascii="微软雅黑" w:eastAsia="微软雅黑" w:hAnsi="微软雅黑" w:cs="微软雅黑" w:hint="eastAsia"/>
          <w:lang w:eastAsia="zh-CN"/>
        </w:rPr>
        <w:t>【</w:t>
      </w:r>
      <w:r w:rsidRPr="00825919">
        <w:rPr>
          <w:rFonts w:ascii="微软雅黑" w:eastAsia="微软雅黑" w:hAnsi="微软雅黑" w:cs="微软雅黑"/>
          <w:lang w:eastAsia="zh-CN"/>
        </w:rPr>
        <w:t>美国贸易代表贾米森·格里尔在接受媒体采访时暗示，美国联邦政府将很快出台新的关税政策以替代即将到期的10%全球进口关税。格里尔表示，现在无法给出新关税政策出台具体时间点，政策在正式宣布前还需向国会和其他利益攸关方通报。</w:t>
      </w:r>
      <w:r w:rsidRPr="00825919">
        <w:rPr>
          <w:rFonts w:ascii="微软雅黑" w:eastAsia="微软雅黑" w:hAnsi="微软雅黑" w:cs="微软雅黑" w:hint="eastAsia"/>
          <w:lang w:eastAsia="zh-CN"/>
        </w:rPr>
        <w:t>】</w:t>
      </w:r>
    </w:p>
    <w:p w14:paraId="2D8E43E1" w14:textId="63C8E232" w:rsidR="00D450EA" w:rsidRPr="00825919" w:rsidRDefault="00D450EA" w:rsidP="001348E6">
      <w:pPr>
        <w:pStyle w:val="a9"/>
        <w:rPr>
          <w:rFonts w:ascii="微软雅黑" w:eastAsia="微软雅黑" w:hAnsi="微软雅黑" w:cs="微软雅黑" w:hint="eastAsia"/>
          <w:lang w:eastAsia="zh-CN"/>
        </w:rPr>
      </w:pPr>
      <w:r w:rsidRPr="00825919">
        <w:rPr>
          <w:rFonts w:ascii="微软雅黑" w:eastAsia="微软雅黑" w:hAnsi="微软雅黑" w:cs="微软雅黑" w:hint="eastAsia"/>
          <w:lang w:eastAsia="zh-CN"/>
        </w:rPr>
        <w:t>【</w:t>
      </w:r>
      <w:r w:rsidR="00825919" w:rsidRPr="00825919">
        <w:rPr>
          <w:rFonts w:ascii="微软雅黑" w:eastAsia="微软雅黑" w:hAnsi="微软雅黑" w:cs="微软雅黑"/>
          <w:lang w:eastAsia="zh-CN"/>
        </w:rPr>
        <w:t>美国总统特朗普在佐治亚州发表演讲时提及，由于共和党和民主党在支出优先事项上存在分歧，9月份将出现联邦政府“停摆”。美国众议院通过一项短期拨款法案，将为联邦政府机构提供资金至12月4日，以避免政府在11月中期选举前“停摆”。法案通过后将提交参议院审议。若国会未能及时通过拨款法案，大多数联邦机构和项目的资金将于9月30日耗尽。</w:t>
      </w:r>
      <w:r w:rsidRPr="00825919">
        <w:rPr>
          <w:rFonts w:ascii="微软雅黑" w:eastAsia="微软雅黑" w:hAnsi="微软雅黑" w:cs="微软雅黑" w:hint="eastAsia"/>
          <w:lang w:eastAsia="zh-CN"/>
        </w:rPr>
        <w:t>】</w:t>
      </w:r>
    </w:p>
    <w:p w14:paraId="19F02E75" w14:textId="3FE4BA53" w:rsidR="00D450EA" w:rsidRPr="00825919" w:rsidRDefault="00D450EA" w:rsidP="001348E6">
      <w:pPr>
        <w:pStyle w:val="a9"/>
        <w:rPr>
          <w:rFonts w:ascii="微软雅黑" w:eastAsia="微软雅黑" w:hAnsi="微软雅黑" w:cs="微软雅黑" w:hint="eastAsia"/>
          <w:lang w:eastAsia="zh-CN"/>
        </w:rPr>
      </w:pPr>
      <w:r w:rsidRPr="00825919">
        <w:rPr>
          <w:rFonts w:ascii="微软雅黑" w:eastAsia="微软雅黑" w:hAnsi="微软雅黑" w:cs="微软雅黑" w:hint="eastAsia"/>
          <w:lang w:eastAsia="zh-CN"/>
        </w:rPr>
        <w:t>【</w:t>
      </w:r>
      <w:r w:rsidR="00825919" w:rsidRPr="00825919">
        <w:rPr>
          <w:rFonts w:ascii="微软雅黑" w:eastAsia="微软雅黑" w:hAnsi="微软雅黑" w:cs="微软雅黑"/>
          <w:lang w:eastAsia="zh-CN"/>
        </w:rPr>
        <w:t>美国白宫表示，特朗普签署公告，授权商务部长设立激励计划，扶持投资铝冶炼厂的企业。激励计划将要求企业提交“产业回流计划”。经批准后，相关企业可按相应额度进口原铝，并享受降低后的关税税率，税率相当于原本适用的《232条款》关税税率的一半。</w:t>
      </w:r>
      <w:r w:rsidRPr="00825919">
        <w:rPr>
          <w:rFonts w:ascii="微软雅黑" w:eastAsia="微软雅黑" w:hAnsi="微软雅黑" w:cs="微软雅黑" w:hint="eastAsia"/>
          <w:lang w:eastAsia="zh-CN"/>
        </w:rPr>
        <w:t>】</w:t>
      </w:r>
    </w:p>
    <w:p w14:paraId="40E16B7E" w14:textId="2575303D" w:rsidR="004E3CEF" w:rsidRPr="00825919" w:rsidRDefault="004E3CEF" w:rsidP="001348E6">
      <w:pPr>
        <w:pStyle w:val="a9"/>
        <w:rPr>
          <w:rFonts w:ascii="微软雅黑" w:eastAsia="微软雅黑" w:hAnsi="微软雅黑" w:cs="微软雅黑" w:hint="eastAsia"/>
          <w:lang w:eastAsia="zh-CN"/>
        </w:rPr>
      </w:pPr>
      <w:r w:rsidRPr="00825919">
        <w:rPr>
          <w:rFonts w:ascii="微软雅黑" w:eastAsia="微软雅黑" w:hAnsi="微软雅黑" w:cs="微软雅黑" w:hint="eastAsia"/>
          <w:lang w:eastAsia="zh-CN"/>
        </w:rPr>
        <w:t>【</w:t>
      </w:r>
      <w:r w:rsidR="00825919" w:rsidRPr="00825919">
        <w:rPr>
          <w:rFonts w:ascii="微软雅黑" w:eastAsia="微软雅黑" w:hAnsi="微软雅黑" w:cs="微软雅黑"/>
          <w:lang w:eastAsia="zh-CN"/>
        </w:rPr>
        <w:t>美国商务部经济分析局计划修订其对投资管理服务、计算机软件和法律服务的统计方法。更新后的方法将随9月30日发布的8月份通胀数据一同推出，并追溯应用于过去五年。这可能使今年晚些时候的通胀读数看起来略有下降。</w:t>
      </w:r>
      <w:r w:rsidRPr="00825919">
        <w:rPr>
          <w:rFonts w:ascii="微软雅黑" w:eastAsia="微软雅黑" w:hAnsi="微软雅黑" w:cs="微软雅黑" w:hint="eastAsia"/>
          <w:lang w:eastAsia="zh-CN"/>
        </w:rPr>
        <w:t>】</w:t>
      </w:r>
    </w:p>
    <w:p w14:paraId="300138EF" w14:textId="0D63A6BC" w:rsidR="00ED7A70" w:rsidRPr="00825919" w:rsidRDefault="00ED7A70" w:rsidP="0029534B">
      <w:pPr>
        <w:pStyle w:val="a9"/>
        <w:rPr>
          <w:rFonts w:ascii="微软雅黑" w:eastAsia="微软雅黑" w:hAnsi="微软雅黑" w:cs="微软雅黑"/>
          <w:lang w:eastAsia="zh-CN"/>
        </w:rPr>
      </w:pPr>
      <w:r w:rsidRPr="00825919">
        <w:rPr>
          <w:rFonts w:ascii="微软雅黑" w:eastAsia="微软雅黑" w:hAnsi="微软雅黑" w:cs="微软雅黑" w:hint="eastAsia"/>
          <w:lang w:eastAsia="zh-CN"/>
        </w:rPr>
        <w:t>【</w:t>
      </w:r>
      <w:r w:rsidR="00825919" w:rsidRPr="00825919">
        <w:rPr>
          <w:rFonts w:ascii="微软雅黑" w:eastAsia="微软雅黑" w:hAnsi="微软雅黑" w:cs="微软雅黑"/>
          <w:lang w:eastAsia="zh-CN"/>
        </w:rPr>
        <w:t>美国将对加拿大部分产品额外加征50%的从价关税，以应对“加拿大在汽车及汽车零部件贸易方面对美国采取的歧视性措施”。新关税将自美东时间8月19日凌晨00时01分起生效，并将在现有相关关税、税费及其他收费基础上叠加征收。</w:t>
      </w:r>
      <w:r w:rsidRPr="00825919">
        <w:rPr>
          <w:rFonts w:ascii="微软雅黑" w:eastAsia="微软雅黑" w:hAnsi="微软雅黑" w:cs="微软雅黑" w:hint="eastAsia"/>
          <w:lang w:eastAsia="zh-CN"/>
        </w:rPr>
        <w:t>】</w:t>
      </w:r>
    </w:p>
    <w:p w14:paraId="4F9D1F94" w14:textId="77777777" w:rsidR="00825919" w:rsidRPr="00825919" w:rsidRDefault="00825919" w:rsidP="00825919">
      <w:pPr>
        <w:pStyle w:val="a9"/>
        <w:rPr>
          <w:rFonts w:ascii="微软雅黑" w:eastAsia="微软雅黑" w:hAnsi="微软雅黑" w:cs="微软雅黑" w:hint="eastAsia"/>
          <w:lang w:eastAsia="zh-CN"/>
        </w:rPr>
      </w:pPr>
      <w:r w:rsidRPr="00825919">
        <w:rPr>
          <w:rFonts w:ascii="微软雅黑" w:eastAsia="微软雅黑" w:hAnsi="微软雅黑" w:cs="微软雅黑" w:hint="eastAsia"/>
          <w:lang w:eastAsia="zh-CN"/>
        </w:rPr>
        <w:t>【</w:t>
      </w:r>
      <w:r w:rsidRPr="00825919">
        <w:rPr>
          <w:rFonts w:ascii="微软雅黑" w:eastAsia="微软雅黑" w:hAnsi="微软雅黑" w:cs="微软雅黑"/>
          <w:lang w:eastAsia="zh-CN"/>
        </w:rPr>
        <w:t>美国7月标普全球制造业PMI初值意外下降至53.8，为3月以来最低水平，市场预期为升至54.3。服务业PMI初值53.6，创8个月新高，拉动综合PMI初值升至53.6，亦创8个月新高，均远超市场预期。</w:t>
      </w:r>
      <w:r w:rsidRPr="00825919">
        <w:rPr>
          <w:rFonts w:ascii="微软雅黑" w:eastAsia="微软雅黑" w:hAnsi="微软雅黑" w:cs="微软雅黑" w:hint="eastAsia"/>
          <w:lang w:eastAsia="zh-CN"/>
        </w:rPr>
        <w:t>】</w:t>
      </w:r>
    </w:p>
    <w:p w14:paraId="70A39BCE" w14:textId="41692DDD" w:rsidR="00825919" w:rsidRPr="0011524B" w:rsidRDefault="00825919" w:rsidP="0011524B">
      <w:pPr>
        <w:pStyle w:val="a9"/>
        <w:rPr>
          <w:rFonts w:ascii="微软雅黑" w:eastAsia="微软雅黑" w:hAnsi="微软雅黑" w:cs="微软雅黑" w:hint="eastAsia"/>
          <w:lang w:eastAsia="zh-CN"/>
        </w:rPr>
      </w:pPr>
      <w:r w:rsidRPr="00825919">
        <w:rPr>
          <w:rFonts w:ascii="微软雅黑" w:eastAsia="微软雅黑" w:hAnsi="微软雅黑" w:cs="微软雅黑" w:hint="eastAsia"/>
          <w:lang w:eastAsia="zh-CN"/>
        </w:rPr>
        <w:t>【</w:t>
      </w:r>
      <w:r w:rsidRPr="00825919">
        <w:rPr>
          <w:rFonts w:ascii="微软雅黑" w:eastAsia="微软雅黑" w:hAnsi="微软雅黑" w:cs="微软雅黑"/>
          <w:lang w:eastAsia="zh-CN"/>
        </w:rPr>
        <w:t>美国劳工部数据显示，美国上周初请失业金人数较前周骤降2.2万至18.7万，远低于市场预期的21.2万人。前一周续请失业金人数为179.6万，低于市场预期的180.7万。</w:t>
      </w:r>
      <w:r w:rsidRPr="00825919">
        <w:rPr>
          <w:rFonts w:ascii="微软雅黑" w:eastAsia="微软雅黑" w:hAnsi="微软雅黑" w:cs="微软雅黑" w:hint="eastAsia"/>
          <w:lang w:eastAsia="zh-CN"/>
        </w:rPr>
        <w:t>】</w:t>
      </w:r>
    </w:p>
    <w:p w14:paraId="4EE5365B" w14:textId="12A0E1DA" w:rsidR="004F1D52" w:rsidRPr="00825919" w:rsidRDefault="004F1D52" w:rsidP="005025C0">
      <w:pPr>
        <w:pStyle w:val="a9"/>
        <w:rPr>
          <w:rFonts w:ascii="微软雅黑" w:eastAsia="微软雅黑" w:hAnsi="微软雅黑" w:cs="微软雅黑" w:hint="eastAsia"/>
          <w:lang w:eastAsia="zh-CN"/>
        </w:rPr>
      </w:pPr>
      <w:r w:rsidRPr="00825919">
        <w:rPr>
          <w:rFonts w:ascii="微软雅黑" w:eastAsia="微软雅黑" w:hAnsi="微软雅黑" w:cs="微软雅黑" w:hint="eastAsia"/>
          <w:lang w:eastAsia="zh-CN"/>
        </w:rPr>
        <w:t>【</w:t>
      </w:r>
      <w:r w:rsidR="00825919" w:rsidRPr="00825919">
        <w:rPr>
          <w:rFonts w:ascii="微软雅黑" w:eastAsia="微软雅黑" w:hAnsi="微软雅黑" w:cs="微软雅黑"/>
          <w:lang w:eastAsia="zh-CN"/>
        </w:rPr>
        <w:t>欧洲央行如期按兵不动，表示将密切关注能源价格冲击的强度和持续时间，并重申不会预先承诺特定的利率路径。知情人士透露，如果欧元区通胀前景未出现明显改善，欧洲央行官员已做好在9月加息的准备。</w:t>
      </w:r>
      <w:r w:rsidRPr="00825919">
        <w:rPr>
          <w:rFonts w:ascii="微软雅黑" w:eastAsia="微软雅黑" w:hAnsi="微软雅黑" w:cs="微软雅黑" w:hint="eastAsia"/>
          <w:lang w:eastAsia="zh-CN"/>
        </w:rPr>
        <w:t>】</w:t>
      </w:r>
    </w:p>
    <w:p w14:paraId="3662027E" w14:textId="7DAC2804" w:rsidR="00D338AE" w:rsidRPr="00825919" w:rsidRDefault="005025C0" w:rsidP="00D338AE">
      <w:pPr>
        <w:pStyle w:val="a9"/>
        <w:rPr>
          <w:rFonts w:ascii="微软雅黑" w:eastAsia="微软雅黑" w:hAnsi="微软雅黑" w:cs="微软雅黑" w:hint="eastAsia"/>
          <w:lang w:eastAsia="zh-CN"/>
        </w:rPr>
      </w:pPr>
      <w:r w:rsidRPr="00825919">
        <w:rPr>
          <w:rFonts w:ascii="微软雅黑" w:eastAsia="微软雅黑" w:hAnsi="微软雅黑" w:cs="微软雅黑" w:hint="eastAsia"/>
          <w:lang w:eastAsia="zh-CN"/>
        </w:rPr>
        <w:t>【</w:t>
      </w:r>
      <w:r w:rsidR="00825919" w:rsidRPr="00825919">
        <w:rPr>
          <w:rFonts w:ascii="微软雅黑" w:eastAsia="微软雅黑" w:hAnsi="微软雅黑" w:cs="微软雅黑"/>
          <w:lang w:eastAsia="zh-CN"/>
        </w:rPr>
        <w:t>欧洲央行多名决策层官员近日就9月货币政策走向表态，普遍强调将视未来数周的关键经济数据决定是否加息。在近期中东局势升级引发国际原油价格波动的背景下，欧洲央行内部目前倾向于维持“逐次会议决定”的审慎策略。</w:t>
      </w:r>
      <w:r w:rsidR="00D338AE" w:rsidRPr="00825919">
        <w:rPr>
          <w:rFonts w:ascii="微软雅黑" w:eastAsia="微软雅黑" w:hAnsi="微软雅黑" w:cs="微软雅黑" w:hint="eastAsia"/>
          <w:lang w:eastAsia="zh-CN"/>
        </w:rPr>
        <w:t>】</w:t>
      </w:r>
    </w:p>
    <w:p w14:paraId="6A5C59E3" w14:textId="61422ACD" w:rsidR="004E3CEF" w:rsidRPr="00825919" w:rsidRDefault="004E3CEF" w:rsidP="00D338AE">
      <w:pPr>
        <w:pStyle w:val="a9"/>
        <w:rPr>
          <w:rFonts w:ascii="微软雅黑" w:eastAsia="微软雅黑" w:hAnsi="微软雅黑" w:cs="微软雅黑" w:hint="eastAsia"/>
          <w:lang w:eastAsia="zh-CN"/>
        </w:rPr>
      </w:pPr>
      <w:r w:rsidRPr="00825919">
        <w:rPr>
          <w:rFonts w:ascii="微软雅黑" w:eastAsia="微软雅黑" w:hAnsi="微软雅黑" w:cs="微软雅黑" w:hint="eastAsia"/>
          <w:lang w:eastAsia="zh-CN"/>
        </w:rPr>
        <w:lastRenderedPageBreak/>
        <w:t>【</w:t>
      </w:r>
      <w:r w:rsidR="00825919" w:rsidRPr="00825919">
        <w:rPr>
          <w:rFonts w:ascii="微软雅黑" w:eastAsia="微软雅黑" w:hAnsi="微软雅黑" w:cs="微软雅黑"/>
          <w:lang w:eastAsia="zh-CN"/>
        </w:rPr>
        <w:t>欧元区7月制造业PMI初值升至52，超出市场预期；服务业PMI初值51.6，综合PMI初值51.9，均远超预期并重返扩展区间。德国综合PMI回升至51.2，结束连续三个月萎缩；法国综合PMI回升至49.6，为2月以来最高水平。</w:t>
      </w:r>
      <w:r w:rsidRPr="00825919">
        <w:rPr>
          <w:rFonts w:ascii="微软雅黑" w:eastAsia="微软雅黑" w:hAnsi="微软雅黑" w:cs="微软雅黑" w:hint="eastAsia"/>
          <w:lang w:eastAsia="zh-CN"/>
        </w:rPr>
        <w:t>】</w:t>
      </w:r>
    </w:p>
    <w:p w14:paraId="0400B72C" w14:textId="30DBE025" w:rsidR="00920732" w:rsidRPr="00825919" w:rsidRDefault="00920732" w:rsidP="00920732">
      <w:pPr>
        <w:pStyle w:val="a9"/>
        <w:rPr>
          <w:rFonts w:ascii="微软雅黑" w:eastAsia="微软雅黑" w:hAnsi="微软雅黑" w:cs="微软雅黑"/>
          <w:lang w:eastAsia="zh-CN"/>
        </w:rPr>
      </w:pPr>
      <w:r w:rsidRPr="00825919">
        <w:rPr>
          <w:rFonts w:ascii="微软雅黑" w:eastAsia="微软雅黑" w:hAnsi="微软雅黑" w:cs="微软雅黑" w:hint="eastAsia"/>
          <w:lang w:eastAsia="zh-CN"/>
        </w:rPr>
        <w:t>【</w:t>
      </w:r>
      <w:r w:rsidR="00825919" w:rsidRPr="00825919">
        <w:rPr>
          <w:rFonts w:ascii="微软雅黑" w:eastAsia="微软雅黑" w:hAnsi="微软雅黑" w:cs="微软雅黑"/>
          <w:lang w:eastAsia="zh-CN"/>
        </w:rPr>
        <w:t>日本6月核心CPI同比上涨1.6%，涨幅比5月的1.4%有所扩大。虽然3个月来首次扩大，但连续5个月低于2%。知情人士称，日本央行计划下周维持利率不变，同时将维持有关通胀率可能升破2%目标的风险警告。</w:t>
      </w:r>
      <w:r w:rsidRPr="00825919">
        <w:rPr>
          <w:rFonts w:ascii="微软雅黑" w:eastAsia="微软雅黑" w:hAnsi="微软雅黑" w:cs="微软雅黑" w:hint="eastAsia"/>
          <w:lang w:eastAsia="zh-CN"/>
        </w:rPr>
        <w:t>】</w:t>
      </w:r>
    </w:p>
    <w:p w14:paraId="7F57480C" w14:textId="342370AE" w:rsidR="00825919" w:rsidRPr="00BD76A9" w:rsidRDefault="00825919" w:rsidP="00920732">
      <w:pPr>
        <w:pStyle w:val="a9"/>
        <w:rPr>
          <w:rFonts w:ascii="微软雅黑" w:eastAsia="微软雅黑" w:hAnsi="微软雅黑" w:cs="微软雅黑" w:hint="eastAsia"/>
          <w:lang w:eastAsia="zh-CN"/>
        </w:rPr>
      </w:pPr>
      <w:r w:rsidRPr="00825919">
        <w:rPr>
          <w:rFonts w:ascii="微软雅黑" w:eastAsia="微软雅黑" w:hAnsi="微软雅黑" w:cs="微软雅黑" w:hint="eastAsia"/>
          <w:lang w:eastAsia="zh-CN"/>
        </w:rPr>
        <w:t>【</w:t>
      </w:r>
      <w:r w:rsidRPr="00825919">
        <w:rPr>
          <w:rFonts w:ascii="微软雅黑" w:eastAsia="微软雅黑" w:hAnsi="微软雅黑" w:cs="微软雅黑"/>
          <w:lang w:eastAsia="zh-CN"/>
        </w:rPr>
        <w:t>英国十年内迎来第七位首相。英国执政党工党新任党首安迪·伯纳姆获英国国王任命成为新一任首相，并被授权组建新一届内阁。安迪·伯纳姆发表演讲，承诺终结英国长达十年的政治动荡，推行“40年来最大规模改革”，以全新经济模式重塑英国，将于今年晚些时候发布十年经济复苏计划。</w:t>
      </w:r>
      <w:r>
        <w:rPr>
          <w:rFonts w:ascii="微软雅黑" w:eastAsia="微软雅黑" w:hAnsi="微软雅黑" w:cs="微软雅黑" w:hint="eastAsia"/>
          <w:lang w:eastAsia="zh-CN"/>
        </w:rPr>
        <w:t>】</w:t>
      </w:r>
    </w:p>
    <w:p w14:paraId="2E9F4359" w14:textId="77777777" w:rsidR="00207464" w:rsidRPr="00602D33" w:rsidRDefault="00207464" w:rsidP="0076666A">
      <w:pPr>
        <w:pStyle w:val="a9"/>
        <w:rPr>
          <w:rFonts w:ascii="微软雅黑" w:eastAsia="微软雅黑" w:hAnsi="微软雅黑" w:cs="微软雅黑" w:hint="eastAsia"/>
          <w:lang w:eastAsia="zh-CN"/>
        </w:rPr>
      </w:pPr>
    </w:p>
    <w:p w14:paraId="5676F9EB" w14:textId="1FE848A8" w:rsidR="00993B64" w:rsidRDefault="00F70FC2">
      <w:pPr>
        <w:spacing w:before="120" w:line="190" w:lineRule="auto"/>
        <w:rPr>
          <w:rFonts w:ascii="微软雅黑" w:eastAsia="微软雅黑" w:hAnsi="微软雅黑" w:cs="微软雅黑" w:hint="eastAsia"/>
          <w:b/>
          <w:bCs/>
          <w:color w:val="036EB8"/>
          <w:spacing w:val="10"/>
          <w:sz w:val="28"/>
          <w:szCs w:val="28"/>
          <w:lang w:eastAsia="zh-CN"/>
        </w:rPr>
      </w:pPr>
      <w:r>
        <w:rPr>
          <w:noProof/>
          <w:lang w:eastAsia="zh-CN"/>
        </w:rPr>
        <w:drawing>
          <wp:inline distT="0" distB="0" distL="0" distR="0" wp14:anchorId="6DF2B114" wp14:editId="38413DA3">
            <wp:extent cx="133350" cy="171450"/>
            <wp:effectExtent l="0" t="0" r="0" b="0"/>
            <wp:docPr id="473855291" name="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42547">
        <w:rPr>
          <w:rFonts w:ascii="微软雅黑" w:eastAsia="微软雅黑" w:hAnsi="微软雅黑" w:cs="微软雅黑"/>
          <w:b/>
          <w:bCs/>
          <w:color w:val="036EB8"/>
          <w:spacing w:val="15"/>
          <w:sz w:val="28"/>
          <w:szCs w:val="28"/>
          <w:lang w:eastAsia="zh-CN"/>
        </w:rPr>
        <w:t xml:space="preserve"> </w:t>
      </w:r>
      <w:r w:rsidR="00E42547">
        <w:rPr>
          <w:rFonts w:ascii="微软雅黑" w:eastAsia="微软雅黑" w:hAnsi="微软雅黑" w:cs="微软雅黑"/>
          <w:b/>
          <w:bCs/>
          <w:color w:val="036EB8"/>
          <w:spacing w:val="10"/>
          <w:sz w:val="28"/>
          <w:szCs w:val="28"/>
          <w:lang w:eastAsia="zh-CN"/>
        </w:rPr>
        <w:t>周度</w:t>
      </w:r>
      <w:r w:rsidR="00E42547">
        <w:rPr>
          <w:rFonts w:ascii="微软雅黑" w:eastAsia="微软雅黑" w:hAnsi="微软雅黑" w:cs="微软雅黑" w:hint="eastAsia"/>
          <w:b/>
          <w:bCs/>
          <w:color w:val="036EB8"/>
          <w:spacing w:val="10"/>
          <w:sz w:val="28"/>
          <w:szCs w:val="28"/>
          <w:lang w:eastAsia="zh-CN"/>
        </w:rPr>
        <w:t xml:space="preserve">品种观点 </w:t>
      </w:r>
    </w:p>
    <w:tbl>
      <w:tblPr>
        <w:tblStyle w:val="a8"/>
        <w:tblW w:w="10783" w:type="dxa"/>
        <w:tblLook w:val="04A0" w:firstRow="1" w:lastRow="0" w:firstColumn="1" w:lastColumn="0" w:noHBand="0" w:noVBand="1"/>
      </w:tblPr>
      <w:tblGrid>
        <w:gridCol w:w="1744"/>
        <w:gridCol w:w="9039"/>
      </w:tblGrid>
      <w:tr w:rsidR="00993B64" w14:paraId="46EC9CB6" w14:textId="77777777">
        <w:tc>
          <w:tcPr>
            <w:tcW w:w="1744" w:type="dxa"/>
            <w:tcBorders>
              <w:top w:val="single" w:sz="4" w:space="0" w:color="2169C1"/>
              <w:left w:val="single" w:sz="4" w:space="0" w:color="FFFFFF"/>
              <w:bottom w:val="dotted" w:sz="4" w:space="0" w:color="auto"/>
              <w:right w:val="dotted" w:sz="4" w:space="0" w:color="auto"/>
            </w:tcBorders>
            <w:shd w:val="clear" w:color="auto" w:fill="729ED8"/>
            <w:vAlign w:val="center"/>
          </w:tcPr>
          <w:p w14:paraId="2D5E8AB5" w14:textId="77777777" w:rsidR="00993B64" w:rsidRDefault="00E42547">
            <w:pPr>
              <w:pStyle w:val="TableText"/>
              <w:spacing w:before="221" w:line="182" w:lineRule="auto"/>
              <w:jc w:val="center"/>
              <w:rPr>
                <w:rFonts w:hint="eastAsia"/>
                <w:color w:val="FFFFFF" w:themeColor="background1"/>
                <w:sz w:val="24"/>
                <w:szCs w:val="24"/>
                <w:lang w:eastAsia="zh-CN"/>
              </w:rPr>
            </w:pPr>
            <w:r>
              <w:rPr>
                <w:rFonts w:hint="eastAsia"/>
                <w:b/>
                <w:bCs/>
                <w:color w:val="FFFFFF" w:themeColor="background1"/>
                <w:spacing w:val="10"/>
                <w:sz w:val="28"/>
                <w:szCs w:val="28"/>
                <w:lang w:eastAsia="zh-CN"/>
              </w:rPr>
              <w:t>品种</w:t>
            </w:r>
          </w:p>
        </w:tc>
        <w:tc>
          <w:tcPr>
            <w:tcW w:w="9039" w:type="dxa"/>
            <w:tcBorders>
              <w:top w:val="single" w:sz="4" w:space="0" w:color="2169C1"/>
              <w:left w:val="dotted" w:sz="4" w:space="0" w:color="auto"/>
              <w:bottom w:val="dotted" w:sz="4" w:space="0" w:color="auto"/>
              <w:right w:val="single" w:sz="4" w:space="0" w:color="FFFFFF"/>
            </w:tcBorders>
            <w:shd w:val="clear" w:color="auto" w:fill="729ED8"/>
            <w:vAlign w:val="center"/>
          </w:tcPr>
          <w:p w14:paraId="1EFC0F88" w14:textId="77777777" w:rsidR="00993B64" w:rsidRDefault="00E42547">
            <w:pPr>
              <w:spacing w:before="120" w:line="190" w:lineRule="auto"/>
              <w:jc w:val="center"/>
              <w:rPr>
                <w:rFonts w:ascii="微软雅黑" w:eastAsia="微软雅黑" w:hAnsi="微软雅黑" w:cs="微软雅黑" w:hint="eastAsia"/>
                <w:b/>
                <w:bCs/>
                <w:color w:val="FFFFFF" w:themeColor="background1"/>
                <w:spacing w:val="10"/>
                <w:sz w:val="28"/>
                <w:szCs w:val="28"/>
                <w:lang w:eastAsia="zh-CN"/>
              </w:rPr>
            </w:pPr>
            <w:r>
              <w:rPr>
                <w:rFonts w:ascii="微软雅黑" w:eastAsia="微软雅黑" w:hAnsi="微软雅黑" w:cs="微软雅黑" w:hint="eastAsia"/>
                <w:b/>
                <w:bCs/>
                <w:color w:val="FFFFFF" w:themeColor="background1"/>
                <w:spacing w:val="10"/>
                <w:sz w:val="28"/>
                <w:szCs w:val="28"/>
                <w:lang w:eastAsia="zh-CN"/>
              </w:rPr>
              <w:t>观点</w:t>
            </w:r>
          </w:p>
        </w:tc>
      </w:tr>
      <w:tr w:rsidR="00B86245" w14:paraId="0207ECA9" w14:textId="77777777" w:rsidTr="00B86245">
        <w:trPr>
          <w:trHeight w:val="346"/>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7E44D6D1" w14:textId="77777777" w:rsidR="00B86245" w:rsidRDefault="00B86245" w:rsidP="00B86245">
            <w:pPr>
              <w:pStyle w:val="TableText"/>
              <w:spacing w:before="228" w:line="191" w:lineRule="auto"/>
              <w:jc w:val="center"/>
              <w:rPr>
                <w:rFonts w:hint="eastAsia"/>
                <w:b/>
                <w:bCs/>
                <w:sz w:val="19"/>
                <w:szCs w:val="19"/>
                <w:lang w:eastAsia="zh-CN"/>
              </w:rPr>
            </w:pPr>
            <w:r w:rsidRPr="00191114">
              <w:rPr>
                <w:b/>
                <w:bCs/>
                <w:sz w:val="19"/>
                <w:szCs w:val="19"/>
                <w:lang w:eastAsia="zh-CN"/>
              </w:rPr>
              <w:t>S&amp;P500</w:t>
            </w:r>
          </w:p>
          <w:p w14:paraId="31F214ED" w14:textId="77777777" w:rsidR="00B86245" w:rsidRDefault="00B86245" w:rsidP="00B86245">
            <w:pPr>
              <w:pStyle w:val="TableText"/>
              <w:spacing w:before="228" w:line="191" w:lineRule="auto"/>
              <w:ind w:left="449" w:firstLineChars="100" w:firstLine="190"/>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FFFFFF"/>
          </w:tcPr>
          <w:p w14:paraId="2F198B76" w14:textId="63A0D357" w:rsidR="00B86245" w:rsidRPr="00AB3156" w:rsidRDefault="006A4A36" w:rsidP="00380003">
            <w:pPr>
              <w:rPr>
                <w:rFonts w:ascii="微软雅黑" w:eastAsia="微软雅黑" w:hAnsi="微软雅黑" w:hint="eastAsia"/>
                <w:b/>
                <w:lang w:eastAsia="zh-CN"/>
              </w:rPr>
            </w:pPr>
            <w:r w:rsidRPr="006A4A36">
              <w:rPr>
                <w:rFonts w:ascii="微软雅黑" w:eastAsia="微软雅黑" w:hAnsi="微软雅黑"/>
                <w:lang w:eastAsia="zh"/>
              </w:rPr>
              <w:t>7月24日当周，标普500指数下跌0.61%至7411.98；迷你标普500主力合约下跌0.68%至7444点。地缘局势上，特朗普24日命令美军当天不要对伊朗发动打击，称美国和伊朗现在仍在对话。此外，一名伊朗消息人士表示，只要美国停止军事打击，伊朗也将停止军事行动，但伊方仍对美方的意图持“怀疑态度”。美伊双方暂停互相袭击，推升市场停火预期，今日早间，油价与美债收益率双双回落，美股期货全线拉升。产业消息上，三星电子、SK集团与博通、英伟达、AMD等美国芯片公司达成合作，全球AI基础设施投资仍处于扩张阶段。整体来看，虽然，美伊双方暂停互相打击对市场提供喘息，但双方并未达成有效停火协议，且油价与美债收益率仍处于关键点位上方，市场面临的通胀与重估值压力仍然存在</w:t>
            </w:r>
            <w:r>
              <w:rPr>
                <w:rFonts w:ascii="微软雅黑" w:eastAsia="微软雅黑" w:hAnsi="微软雅黑" w:hint="eastAsia"/>
                <w:lang w:eastAsia="zh"/>
              </w:rPr>
              <w:t>。</w:t>
            </w:r>
          </w:p>
        </w:tc>
      </w:tr>
      <w:tr w:rsidR="00B86245" w14:paraId="77BED494" w14:textId="77777777" w:rsidTr="004A576F">
        <w:trPr>
          <w:trHeight w:val="474"/>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050ECB1E" w14:textId="77777777" w:rsidR="00B86245" w:rsidRDefault="00B86245" w:rsidP="00B86245">
            <w:pPr>
              <w:pStyle w:val="TableText"/>
              <w:spacing w:before="230" w:line="191" w:lineRule="auto"/>
              <w:jc w:val="center"/>
              <w:rPr>
                <w:rFonts w:hint="eastAsia"/>
                <w:b/>
                <w:bCs/>
                <w:sz w:val="19"/>
                <w:szCs w:val="19"/>
              </w:rPr>
            </w:pPr>
            <w:r w:rsidRPr="00191114">
              <w:rPr>
                <w:rFonts w:hint="eastAsia"/>
                <w:b/>
                <w:bCs/>
                <w:sz w:val="19"/>
                <w:szCs w:val="19"/>
              </w:rPr>
              <w:t>富时中国</w:t>
            </w:r>
            <w:r w:rsidRPr="00191114">
              <w:rPr>
                <w:b/>
                <w:bCs/>
                <w:sz w:val="19"/>
                <w:szCs w:val="19"/>
              </w:rPr>
              <w:t>A50</w:t>
            </w:r>
          </w:p>
          <w:p w14:paraId="2392E876" w14:textId="77777777" w:rsidR="00B86245" w:rsidRDefault="00B86245" w:rsidP="00B86245">
            <w:pPr>
              <w:pStyle w:val="TableText"/>
              <w:spacing w:before="230" w:line="191" w:lineRule="auto"/>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55ECC7EE" w14:textId="47A33C06" w:rsidR="00B86245" w:rsidRPr="008F5218" w:rsidRDefault="006A4A36" w:rsidP="00B86245">
            <w:pPr>
              <w:rPr>
                <w:rFonts w:ascii="微软雅黑" w:eastAsia="微软雅黑" w:hAnsi="微软雅黑" w:cs="微软雅黑" w:hint="eastAsia"/>
                <w:lang w:eastAsia="zh-CN"/>
              </w:rPr>
            </w:pPr>
            <w:r w:rsidRPr="006A4A36">
              <w:rPr>
                <w:rFonts w:ascii="微软雅黑" w:eastAsia="微软雅黑" w:hAnsi="微软雅黑"/>
                <w:lang w:eastAsia="zh"/>
              </w:rPr>
              <w:t>7月24日当周，富时中国A50指数上涨3.64%至15128.66；新交所富时A50期指主力合约上涨4.89%至15033。海外方面，地缘局势上，特朗普24日命令美军当天不要对伊朗发动打击，称美国和伊朗现在仍在对话。此外，一名伊朗消息人士表示，只要美国停止军事打击，伊朗也将停止军事行动，但伊方仍对美方的意图持“怀疑态度”。美伊双方暂停互相袭击，推升市场停火预期，今日早间，油价与美债收益率双双回落。产业消息上，三星电子、SK集团与博通、英伟达、AMD等美国芯片公司达成合作。国内方面，经济基本面，二季度我国GDP增速明显回落，其中固投拖累明显；6月份社零重回正增长，但主要受到去年低基期影响，内需仍然偏弱。进出口数据中高技术产品出口强劲与工业增加值高技术产业高增的态势相呼应。整体来看，二季度受到内需走弱，投资放缓的影响，经济基本面整体表现不佳对股市形成压力。虽然，美伊双方暂停互相打击对市场提供喘息，但双方并未达成有效停火协议，且油价与美债收益率仍处于关键点位。最后，全球AI基础设施投资仍处于扩张阶段，对科技股行情起到支撑。</w:t>
            </w:r>
          </w:p>
        </w:tc>
      </w:tr>
      <w:tr w:rsidR="00B86245" w14:paraId="4FC40DE8"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5ED862A0" w14:textId="77777777" w:rsidR="00B86245" w:rsidRDefault="00B86245" w:rsidP="00B86245">
            <w:pPr>
              <w:pStyle w:val="TableText"/>
              <w:spacing w:before="232" w:line="191" w:lineRule="auto"/>
              <w:jc w:val="center"/>
              <w:rPr>
                <w:rFonts w:hint="eastAsia"/>
                <w:sz w:val="19"/>
                <w:szCs w:val="19"/>
                <w:lang w:eastAsia="zh-CN"/>
              </w:rPr>
            </w:pPr>
            <w:r>
              <w:rPr>
                <w:rFonts w:hint="eastAsia"/>
                <w:b/>
                <w:bCs/>
                <w:spacing w:val="3"/>
                <w:sz w:val="19"/>
                <w:szCs w:val="19"/>
                <w:lang w:eastAsia="zh-CN"/>
              </w:rPr>
              <w:t>LME铜</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135A4CAB" w14:textId="77777777" w:rsidR="006A4A36" w:rsidRPr="006A4A36" w:rsidRDefault="006A4A36" w:rsidP="006A4A36">
            <w:pPr>
              <w:rPr>
                <w:rFonts w:ascii="微软雅黑" w:eastAsia="微软雅黑" w:hAnsi="微软雅黑"/>
                <w:color w:val="000000" w:themeColor="text1"/>
                <w:lang w:eastAsia="zh-CN"/>
              </w:rPr>
            </w:pPr>
            <w:r w:rsidRPr="006A4A36">
              <w:rPr>
                <w:rFonts w:ascii="微软雅黑" w:eastAsia="微软雅黑" w:hAnsi="微软雅黑" w:hint="eastAsia"/>
                <w:color w:val="000000" w:themeColor="text1"/>
                <w:lang w:eastAsia="zh-CN"/>
              </w:rPr>
              <w:t>国际方面，美国</w:t>
            </w:r>
            <w:r w:rsidRPr="006A4A36">
              <w:rPr>
                <w:rFonts w:ascii="微软雅黑" w:eastAsia="微软雅黑" w:hAnsi="微软雅黑"/>
                <w:color w:val="000000" w:themeColor="text1"/>
                <w:lang w:eastAsia="zh-CN"/>
              </w:rPr>
              <w:t>7</w:t>
            </w:r>
            <w:r w:rsidRPr="006A4A36">
              <w:rPr>
                <w:rFonts w:ascii="微软雅黑" w:eastAsia="微软雅黑" w:hAnsi="微软雅黑" w:hint="eastAsia"/>
                <w:color w:val="000000" w:themeColor="text1"/>
                <w:lang w:eastAsia="zh-CN"/>
              </w:rPr>
              <w:t>月标普全球制造业</w:t>
            </w:r>
            <w:r w:rsidRPr="006A4A36">
              <w:rPr>
                <w:rFonts w:ascii="微软雅黑" w:eastAsia="微软雅黑" w:hAnsi="微软雅黑"/>
                <w:color w:val="000000" w:themeColor="text1"/>
                <w:lang w:eastAsia="zh-CN"/>
              </w:rPr>
              <w:t>PMI</w:t>
            </w:r>
            <w:r w:rsidRPr="006A4A36">
              <w:rPr>
                <w:rFonts w:ascii="微软雅黑" w:eastAsia="微软雅黑" w:hAnsi="微软雅黑" w:hint="eastAsia"/>
                <w:color w:val="000000" w:themeColor="text1"/>
                <w:lang w:eastAsia="zh-CN"/>
              </w:rPr>
              <w:t>初值意外下降至</w:t>
            </w:r>
            <w:r w:rsidRPr="006A4A36">
              <w:rPr>
                <w:rFonts w:ascii="微软雅黑" w:eastAsia="微软雅黑" w:hAnsi="微软雅黑"/>
                <w:color w:val="000000" w:themeColor="text1"/>
                <w:lang w:eastAsia="zh-CN"/>
              </w:rPr>
              <w:t>53.8</w:t>
            </w:r>
            <w:r w:rsidRPr="006A4A36">
              <w:rPr>
                <w:rFonts w:ascii="微软雅黑" w:eastAsia="微软雅黑" w:hAnsi="微软雅黑" w:hint="eastAsia"/>
                <w:color w:val="000000" w:themeColor="text1"/>
                <w:lang w:eastAsia="zh-CN"/>
              </w:rPr>
              <w:t>，为</w:t>
            </w:r>
            <w:r w:rsidRPr="006A4A36">
              <w:rPr>
                <w:rFonts w:ascii="微软雅黑" w:eastAsia="微软雅黑" w:hAnsi="微软雅黑"/>
                <w:color w:val="000000" w:themeColor="text1"/>
                <w:lang w:eastAsia="zh-CN"/>
              </w:rPr>
              <w:t>3</w:t>
            </w:r>
            <w:r w:rsidRPr="006A4A36">
              <w:rPr>
                <w:rFonts w:ascii="微软雅黑" w:eastAsia="微软雅黑" w:hAnsi="微软雅黑" w:hint="eastAsia"/>
                <w:color w:val="000000" w:themeColor="text1"/>
                <w:lang w:eastAsia="zh-CN"/>
              </w:rPr>
              <w:t>月以来最低水平，市场预期为升至</w:t>
            </w:r>
            <w:r w:rsidRPr="006A4A36">
              <w:rPr>
                <w:rFonts w:ascii="微软雅黑" w:eastAsia="微软雅黑" w:hAnsi="微软雅黑"/>
                <w:color w:val="000000" w:themeColor="text1"/>
                <w:lang w:eastAsia="zh-CN"/>
              </w:rPr>
              <w:t>54.3</w:t>
            </w:r>
            <w:r w:rsidRPr="006A4A36">
              <w:rPr>
                <w:rFonts w:ascii="微软雅黑" w:eastAsia="微软雅黑" w:hAnsi="微软雅黑" w:hint="eastAsia"/>
                <w:color w:val="000000" w:themeColor="text1"/>
                <w:lang w:eastAsia="zh-CN"/>
              </w:rPr>
              <w:t>。服务业</w:t>
            </w:r>
            <w:r w:rsidRPr="006A4A36">
              <w:rPr>
                <w:rFonts w:ascii="微软雅黑" w:eastAsia="微软雅黑" w:hAnsi="微软雅黑"/>
                <w:color w:val="000000" w:themeColor="text1"/>
                <w:lang w:eastAsia="zh-CN"/>
              </w:rPr>
              <w:t>PMI</w:t>
            </w:r>
            <w:r w:rsidRPr="006A4A36">
              <w:rPr>
                <w:rFonts w:ascii="微软雅黑" w:eastAsia="微软雅黑" w:hAnsi="微软雅黑" w:hint="eastAsia"/>
                <w:color w:val="000000" w:themeColor="text1"/>
                <w:lang w:eastAsia="zh-CN"/>
              </w:rPr>
              <w:t>初值</w:t>
            </w:r>
            <w:r w:rsidRPr="006A4A36">
              <w:rPr>
                <w:rFonts w:ascii="微软雅黑" w:eastAsia="微软雅黑" w:hAnsi="微软雅黑"/>
                <w:color w:val="000000" w:themeColor="text1"/>
                <w:lang w:eastAsia="zh-CN"/>
              </w:rPr>
              <w:t>53.6</w:t>
            </w:r>
            <w:r w:rsidRPr="006A4A36">
              <w:rPr>
                <w:rFonts w:ascii="微软雅黑" w:eastAsia="微软雅黑" w:hAnsi="微软雅黑" w:hint="eastAsia"/>
                <w:color w:val="000000" w:themeColor="text1"/>
                <w:lang w:eastAsia="zh-CN"/>
              </w:rPr>
              <w:t>，创</w:t>
            </w:r>
            <w:r w:rsidRPr="006A4A36">
              <w:rPr>
                <w:rFonts w:ascii="微软雅黑" w:eastAsia="微软雅黑" w:hAnsi="微软雅黑"/>
                <w:color w:val="000000" w:themeColor="text1"/>
                <w:lang w:eastAsia="zh-CN"/>
              </w:rPr>
              <w:t>8</w:t>
            </w:r>
            <w:r w:rsidRPr="006A4A36">
              <w:rPr>
                <w:rFonts w:ascii="微软雅黑" w:eastAsia="微软雅黑" w:hAnsi="微软雅黑" w:hint="eastAsia"/>
                <w:color w:val="000000" w:themeColor="text1"/>
                <w:lang w:eastAsia="zh-CN"/>
              </w:rPr>
              <w:t>个月新高，拉动综合</w:t>
            </w:r>
            <w:r w:rsidRPr="006A4A36">
              <w:rPr>
                <w:rFonts w:ascii="微软雅黑" w:eastAsia="微软雅黑" w:hAnsi="微软雅黑"/>
                <w:color w:val="000000" w:themeColor="text1"/>
                <w:lang w:eastAsia="zh-CN"/>
              </w:rPr>
              <w:t>PMI</w:t>
            </w:r>
            <w:r w:rsidRPr="006A4A36">
              <w:rPr>
                <w:rFonts w:ascii="微软雅黑" w:eastAsia="微软雅黑" w:hAnsi="微软雅黑" w:hint="eastAsia"/>
                <w:color w:val="000000" w:themeColor="text1"/>
                <w:lang w:eastAsia="zh-CN"/>
              </w:rPr>
              <w:t>初值升至</w:t>
            </w:r>
            <w:r w:rsidRPr="006A4A36">
              <w:rPr>
                <w:rFonts w:ascii="微软雅黑" w:eastAsia="微软雅黑" w:hAnsi="微软雅黑"/>
                <w:color w:val="000000" w:themeColor="text1"/>
                <w:lang w:eastAsia="zh-CN"/>
              </w:rPr>
              <w:t>53.6</w:t>
            </w:r>
            <w:r w:rsidRPr="006A4A36">
              <w:rPr>
                <w:rFonts w:ascii="微软雅黑" w:eastAsia="微软雅黑" w:hAnsi="微软雅黑" w:hint="eastAsia"/>
                <w:color w:val="000000" w:themeColor="text1"/>
                <w:lang w:eastAsia="zh-CN"/>
              </w:rPr>
              <w:t>，亦创</w:t>
            </w:r>
            <w:r w:rsidRPr="006A4A36">
              <w:rPr>
                <w:rFonts w:ascii="微软雅黑" w:eastAsia="微软雅黑" w:hAnsi="微软雅黑"/>
                <w:color w:val="000000" w:themeColor="text1"/>
                <w:lang w:eastAsia="zh-CN"/>
              </w:rPr>
              <w:t>8</w:t>
            </w:r>
            <w:r w:rsidRPr="006A4A36">
              <w:rPr>
                <w:rFonts w:ascii="微软雅黑" w:eastAsia="微软雅黑" w:hAnsi="微软雅黑" w:hint="eastAsia"/>
                <w:color w:val="000000" w:themeColor="text1"/>
                <w:lang w:eastAsia="zh-CN"/>
              </w:rPr>
              <w:t>个月新高，均远超市场预期。欧元区</w:t>
            </w:r>
            <w:r w:rsidRPr="006A4A36">
              <w:rPr>
                <w:rFonts w:ascii="微软雅黑" w:eastAsia="微软雅黑" w:hAnsi="微软雅黑"/>
                <w:color w:val="000000" w:themeColor="text1"/>
                <w:lang w:eastAsia="zh-CN"/>
              </w:rPr>
              <w:t>7</w:t>
            </w:r>
            <w:r w:rsidRPr="006A4A36">
              <w:rPr>
                <w:rFonts w:ascii="微软雅黑" w:eastAsia="微软雅黑" w:hAnsi="微软雅黑" w:hint="eastAsia"/>
                <w:color w:val="000000" w:themeColor="text1"/>
                <w:lang w:eastAsia="zh-CN"/>
              </w:rPr>
              <w:t>月制造业</w:t>
            </w:r>
            <w:r w:rsidRPr="006A4A36">
              <w:rPr>
                <w:rFonts w:ascii="微软雅黑" w:eastAsia="微软雅黑" w:hAnsi="微软雅黑"/>
                <w:color w:val="000000" w:themeColor="text1"/>
                <w:lang w:eastAsia="zh-CN"/>
              </w:rPr>
              <w:t>PMI</w:t>
            </w:r>
            <w:r w:rsidRPr="006A4A36">
              <w:rPr>
                <w:rFonts w:ascii="微软雅黑" w:eastAsia="微软雅黑" w:hAnsi="微软雅黑" w:hint="eastAsia"/>
                <w:color w:val="000000" w:themeColor="text1"/>
                <w:lang w:eastAsia="zh-CN"/>
              </w:rPr>
              <w:t>初值升至</w:t>
            </w:r>
            <w:r w:rsidRPr="006A4A36">
              <w:rPr>
                <w:rFonts w:ascii="微软雅黑" w:eastAsia="微软雅黑" w:hAnsi="微软雅黑"/>
                <w:color w:val="000000" w:themeColor="text1"/>
                <w:lang w:eastAsia="zh-CN"/>
              </w:rPr>
              <w:t>52</w:t>
            </w:r>
            <w:r w:rsidRPr="006A4A36">
              <w:rPr>
                <w:rFonts w:ascii="微软雅黑" w:eastAsia="微软雅黑" w:hAnsi="微软雅黑" w:hint="eastAsia"/>
                <w:color w:val="000000" w:themeColor="text1"/>
                <w:lang w:eastAsia="zh-CN"/>
              </w:rPr>
              <w:t>，超出市场预期；服务业</w:t>
            </w:r>
            <w:r w:rsidRPr="006A4A36">
              <w:rPr>
                <w:rFonts w:ascii="微软雅黑" w:eastAsia="微软雅黑" w:hAnsi="微软雅黑"/>
                <w:color w:val="000000" w:themeColor="text1"/>
                <w:lang w:eastAsia="zh-CN"/>
              </w:rPr>
              <w:t>PMI</w:t>
            </w:r>
            <w:r w:rsidRPr="006A4A36">
              <w:rPr>
                <w:rFonts w:ascii="微软雅黑" w:eastAsia="微软雅黑" w:hAnsi="微软雅黑" w:hint="eastAsia"/>
                <w:color w:val="000000" w:themeColor="text1"/>
                <w:lang w:eastAsia="zh-CN"/>
              </w:rPr>
              <w:t>初值</w:t>
            </w:r>
            <w:r w:rsidRPr="006A4A36">
              <w:rPr>
                <w:rFonts w:ascii="微软雅黑" w:eastAsia="微软雅黑" w:hAnsi="微软雅黑"/>
                <w:color w:val="000000" w:themeColor="text1"/>
                <w:lang w:eastAsia="zh-CN"/>
              </w:rPr>
              <w:t>51.6</w:t>
            </w:r>
            <w:r w:rsidRPr="006A4A36">
              <w:rPr>
                <w:rFonts w:ascii="微软雅黑" w:eastAsia="微软雅黑" w:hAnsi="微软雅黑" w:hint="eastAsia"/>
                <w:color w:val="000000" w:themeColor="text1"/>
                <w:lang w:eastAsia="zh-CN"/>
              </w:rPr>
              <w:t>，综合</w:t>
            </w:r>
            <w:r w:rsidRPr="006A4A36">
              <w:rPr>
                <w:rFonts w:ascii="微软雅黑" w:eastAsia="微软雅黑" w:hAnsi="微软雅黑"/>
                <w:color w:val="000000" w:themeColor="text1"/>
                <w:lang w:eastAsia="zh-CN"/>
              </w:rPr>
              <w:t>PMI</w:t>
            </w:r>
            <w:r w:rsidRPr="006A4A36">
              <w:rPr>
                <w:rFonts w:ascii="微软雅黑" w:eastAsia="微软雅黑" w:hAnsi="微软雅黑" w:hint="eastAsia"/>
                <w:color w:val="000000" w:themeColor="text1"/>
                <w:lang w:eastAsia="zh-CN"/>
              </w:rPr>
              <w:t>初值</w:t>
            </w:r>
            <w:r w:rsidRPr="006A4A36">
              <w:rPr>
                <w:rFonts w:ascii="微软雅黑" w:eastAsia="微软雅黑" w:hAnsi="微软雅黑"/>
                <w:color w:val="000000" w:themeColor="text1"/>
                <w:lang w:eastAsia="zh-CN"/>
              </w:rPr>
              <w:t>51.9</w:t>
            </w:r>
            <w:r w:rsidRPr="006A4A36">
              <w:rPr>
                <w:rFonts w:ascii="微软雅黑" w:eastAsia="微软雅黑" w:hAnsi="微软雅黑" w:hint="eastAsia"/>
                <w:color w:val="000000" w:themeColor="text1"/>
                <w:lang w:eastAsia="zh-CN"/>
              </w:rPr>
              <w:t>，均远超预期并重返扩展区间。德国综合</w:t>
            </w:r>
            <w:r w:rsidRPr="006A4A36">
              <w:rPr>
                <w:rFonts w:ascii="微软雅黑" w:eastAsia="微软雅黑" w:hAnsi="微软雅黑"/>
                <w:color w:val="000000" w:themeColor="text1"/>
                <w:lang w:eastAsia="zh-CN"/>
              </w:rPr>
              <w:t>PMI</w:t>
            </w:r>
            <w:r w:rsidRPr="006A4A36">
              <w:rPr>
                <w:rFonts w:ascii="微软雅黑" w:eastAsia="微软雅黑" w:hAnsi="微软雅黑" w:hint="eastAsia"/>
                <w:color w:val="000000" w:themeColor="text1"/>
                <w:lang w:eastAsia="zh-CN"/>
              </w:rPr>
              <w:t>回升至</w:t>
            </w:r>
            <w:r w:rsidRPr="006A4A36">
              <w:rPr>
                <w:rFonts w:ascii="微软雅黑" w:eastAsia="微软雅黑" w:hAnsi="微软雅黑"/>
                <w:color w:val="000000" w:themeColor="text1"/>
                <w:lang w:eastAsia="zh-CN"/>
              </w:rPr>
              <w:t>51.2</w:t>
            </w:r>
            <w:r w:rsidRPr="006A4A36">
              <w:rPr>
                <w:rFonts w:ascii="微软雅黑" w:eastAsia="微软雅黑" w:hAnsi="微软雅黑" w:hint="eastAsia"/>
                <w:color w:val="000000" w:themeColor="text1"/>
                <w:lang w:eastAsia="zh-CN"/>
              </w:rPr>
              <w:t>，结束连续三个月萎缩；法国综合</w:t>
            </w:r>
            <w:r w:rsidRPr="006A4A36">
              <w:rPr>
                <w:rFonts w:ascii="微软雅黑" w:eastAsia="微软雅黑" w:hAnsi="微软雅黑"/>
                <w:color w:val="000000" w:themeColor="text1"/>
                <w:lang w:eastAsia="zh-CN"/>
              </w:rPr>
              <w:t>PMI</w:t>
            </w:r>
            <w:r w:rsidRPr="006A4A36">
              <w:rPr>
                <w:rFonts w:ascii="微软雅黑" w:eastAsia="微软雅黑" w:hAnsi="微软雅黑" w:hint="eastAsia"/>
                <w:color w:val="000000" w:themeColor="text1"/>
                <w:lang w:eastAsia="zh-CN"/>
              </w:rPr>
              <w:t>回升至</w:t>
            </w:r>
            <w:r w:rsidRPr="006A4A36">
              <w:rPr>
                <w:rFonts w:ascii="微软雅黑" w:eastAsia="微软雅黑" w:hAnsi="微软雅黑"/>
                <w:color w:val="000000" w:themeColor="text1"/>
                <w:lang w:eastAsia="zh-CN"/>
              </w:rPr>
              <w:t>49.6</w:t>
            </w:r>
            <w:r w:rsidRPr="006A4A36">
              <w:rPr>
                <w:rFonts w:ascii="微软雅黑" w:eastAsia="微软雅黑" w:hAnsi="微软雅黑" w:hint="eastAsia"/>
                <w:color w:val="000000" w:themeColor="text1"/>
                <w:lang w:eastAsia="zh-CN"/>
              </w:rPr>
              <w:t>，为</w:t>
            </w:r>
            <w:r w:rsidRPr="006A4A36">
              <w:rPr>
                <w:rFonts w:ascii="微软雅黑" w:eastAsia="微软雅黑" w:hAnsi="微软雅黑"/>
                <w:color w:val="000000" w:themeColor="text1"/>
                <w:lang w:eastAsia="zh-CN"/>
              </w:rPr>
              <w:t>2</w:t>
            </w:r>
            <w:r w:rsidRPr="006A4A36">
              <w:rPr>
                <w:rFonts w:ascii="微软雅黑" w:eastAsia="微软雅黑" w:hAnsi="微软雅黑" w:hint="eastAsia"/>
                <w:color w:val="000000" w:themeColor="text1"/>
                <w:lang w:eastAsia="zh-CN"/>
              </w:rPr>
              <w:t>月以来最高水平。</w:t>
            </w:r>
          </w:p>
          <w:p w14:paraId="0A3BF3E9" w14:textId="77777777" w:rsidR="006A4A36" w:rsidRPr="006A4A36" w:rsidRDefault="006A4A36" w:rsidP="006A4A36">
            <w:pPr>
              <w:rPr>
                <w:rFonts w:ascii="微软雅黑" w:eastAsia="微软雅黑" w:hAnsi="微软雅黑"/>
                <w:color w:val="000000" w:themeColor="text1"/>
                <w:lang w:eastAsia="zh-CN"/>
              </w:rPr>
            </w:pPr>
            <w:r w:rsidRPr="006A4A36">
              <w:rPr>
                <w:rFonts w:ascii="微软雅黑" w:eastAsia="微软雅黑" w:hAnsi="微软雅黑" w:hint="eastAsia"/>
                <w:color w:val="000000" w:themeColor="text1"/>
                <w:lang w:eastAsia="zh-CN"/>
              </w:rPr>
              <w:t>国内方面，《</w:t>
            </w:r>
            <w:r w:rsidRPr="006A4A36">
              <w:rPr>
                <w:rFonts w:ascii="微软雅黑" w:eastAsia="微软雅黑" w:hAnsi="微软雅黑"/>
                <w:color w:val="000000" w:themeColor="text1"/>
                <w:lang w:eastAsia="zh-CN"/>
              </w:rPr>
              <w:t>2026</w:t>
            </w:r>
            <w:r w:rsidRPr="006A4A36">
              <w:rPr>
                <w:rFonts w:ascii="微软雅黑" w:eastAsia="微软雅黑" w:hAnsi="微软雅黑" w:hint="eastAsia"/>
                <w:color w:val="000000" w:themeColor="text1"/>
                <w:lang w:eastAsia="zh-CN"/>
              </w:rPr>
              <w:t>能源产业生态报告》显示，“十四五”时期，我国风电光伏装机历史性超越火电，核能、生物质能领域领跑全球。</w:t>
            </w:r>
            <w:r w:rsidRPr="006A4A36">
              <w:rPr>
                <w:rFonts w:ascii="微软雅黑" w:eastAsia="微软雅黑" w:hAnsi="微软雅黑"/>
                <w:color w:val="000000" w:themeColor="text1"/>
                <w:lang w:eastAsia="zh-CN"/>
              </w:rPr>
              <w:t>2025</w:t>
            </w:r>
            <w:r w:rsidRPr="006A4A36">
              <w:rPr>
                <w:rFonts w:ascii="微软雅黑" w:eastAsia="微软雅黑" w:hAnsi="微软雅黑" w:hint="eastAsia"/>
                <w:color w:val="000000" w:themeColor="text1"/>
                <w:lang w:eastAsia="zh-CN"/>
              </w:rPr>
              <w:t>年，全国能源重点项目投资额首超</w:t>
            </w:r>
            <w:r w:rsidRPr="006A4A36">
              <w:rPr>
                <w:rFonts w:ascii="微软雅黑" w:eastAsia="微软雅黑" w:hAnsi="微软雅黑"/>
                <w:color w:val="000000" w:themeColor="text1"/>
                <w:lang w:eastAsia="zh-CN"/>
              </w:rPr>
              <w:t>3.5</w:t>
            </w:r>
            <w:r w:rsidRPr="006A4A36">
              <w:rPr>
                <w:rFonts w:ascii="微软雅黑" w:eastAsia="微软雅黑" w:hAnsi="微软雅黑" w:hint="eastAsia"/>
                <w:color w:val="000000" w:themeColor="text1"/>
                <w:lang w:eastAsia="zh-CN"/>
              </w:rPr>
              <w:t>万亿元，同比增长近</w:t>
            </w:r>
            <w:r w:rsidRPr="006A4A36">
              <w:rPr>
                <w:rFonts w:ascii="微软雅黑" w:eastAsia="微软雅黑" w:hAnsi="微软雅黑"/>
                <w:color w:val="000000" w:themeColor="text1"/>
                <w:lang w:eastAsia="zh-CN"/>
              </w:rPr>
              <w:t>11%</w:t>
            </w:r>
            <w:r w:rsidRPr="006A4A36">
              <w:rPr>
                <w:rFonts w:ascii="微软雅黑" w:eastAsia="微软雅黑" w:hAnsi="微软雅黑" w:hint="eastAsia"/>
                <w:color w:val="000000" w:themeColor="text1"/>
                <w:lang w:eastAsia="zh-CN"/>
              </w:rPr>
              <w:t>。</w:t>
            </w:r>
            <w:r w:rsidRPr="006A4A36">
              <w:rPr>
                <w:rFonts w:ascii="微软雅黑" w:eastAsia="微软雅黑" w:hAnsi="微软雅黑"/>
                <w:color w:val="000000" w:themeColor="text1"/>
                <w:lang w:eastAsia="zh-CN"/>
              </w:rPr>
              <w:t>2020</w:t>
            </w:r>
            <w:r w:rsidRPr="006A4A36">
              <w:rPr>
                <w:rFonts w:ascii="微软雅黑" w:eastAsia="微软雅黑" w:hAnsi="微软雅黑" w:hint="eastAsia"/>
                <w:color w:val="000000" w:themeColor="text1"/>
                <w:lang w:eastAsia="zh-CN"/>
              </w:rPr>
              <w:t>至</w:t>
            </w:r>
            <w:r w:rsidRPr="006A4A36">
              <w:rPr>
                <w:rFonts w:ascii="微软雅黑" w:eastAsia="微软雅黑" w:hAnsi="微软雅黑"/>
                <w:color w:val="000000" w:themeColor="text1"/>
                <w:lang w:eastAsia="zh-CN"/>
              </w:rPr>
              <w:t>2025</w:t>
            </w:r>
            <w:r w:rsidRPr="006A4A36">
              <w:rPr>
                <w:rFonts w:ascii="微软雅黑" w:eastAsia="微软雅黑" w:hAnsi="微软雅黑" w:hint="eastAsia"/>
                <w:color w:val="000000" w:themeColor="text1"/>
                <w:lang w:eastAsia="zh-CN"/>
              </w:rPr>
              <w:t>年风电光伏装机从</w:t>
            </w:r>
            <w:r w:rsidRPr="006A4A36">
              <w:rPr>
                <w:rFonts w:ascii="微软雅黑" w:eastAsia="微软雅黑" w:hAnsi="微软雅黑"/>
                <w:color w:val="000000" w:themeColor="text1"/>
                <w:lang w:eastAsia="zh-CN"/>
              </w:rPr>
              <w:t>5.3</w:t>
            </w:r>
            <w:r w:rsidRPr="006A4A36">
              <w:rPr>
                <w:rFonts w:ascii="微软雅黑" w:eastAsia="微软雅黑" w:hAnsi="微软雅黑" w:hint="eastAsia"/>
                <w:color w:val="000000" w:themeColor="text1"/>
                <w:lang w:eastAsia="zh-CN"/>
              </w:rPr>
              <w:t>亿千瓦增至</w:t>
            </w:r>
            <w:r w:rsidRPr="006A4A36">
              <w:rPr>
                <w:rFonts w:ascii="微软雅黑" w:eastAsia="微软雅黑" w:hAnsi="微软雅黑"/>
                <w:color w:val="000000" w:themeColor="text1"/>
                <w:lang w:eastAsia="zh-CN"/>
              </w:rPr>
              <w:t>18.4</w:t>
            </w:r>
            <w:r w:rsidRPr="006A4A36">
              <w:rPr>
                <w:rFonts w:ascii="微软雅黑" w:eastAsia="微软雅黑" w:hAnsi="微软雅黑" w:hint="eastAsia"/>
                <w:color w:val="000000" w:themeColor="text1"/>
                <w:lang w:eastAsia="zh-CN"/>
              </w:rPr>
              <w:t>亿千瓦。核电运行装机总量稳居全球第一，生物质能发电装机连续</w:t>
            </w:r>
            <w:r w:rsidRPr="006A4A36">
              <w:rPr>
                <w:rFonts w:ascii="微软雅黑" w:eastAsia="微软雅黑" w:hAnsi="微软雅黑"/>
                <w:color w:val="000000" w:themeColor="text1"/>
                <w:lang w:eastAsia="zh-CN"/>
              </w:rPr>
              <w:t>7</w:t>
            </w:r>
            <w:r w:rsidRPr="006A4A36">
              <w:rPr>
                <w:rFonts w:ascii="微软雅黑" w:eastAsia="微软雅黑" w:hAnsi="微软雅黑" w:hint="eastAsia"/>
                <w:color w:val="000000" w:themeColor="text1"/>
                <w:lang w:eastAsia="zh-CN"/>
              </w:rPr>
              <w:t>年规模全球第一。</w:t>
            </w:r>
          </w:p>
          <w:p w14:paraId="3908DAD2" w14:textId="77777777" w:rsidR="006A4A36" w:rsidRPr="006A4A36" w:rsidRDefault="006A4A36" w:rsidP="006A4A36">
            <w:pPr>
              <w:rPr>
                <w:rFonts w:ascii="微软雅黑" w:eastAsia="微软雅黑" w:hAnsi="微软雅黑"/>
                <w:color w:val="000000" w:themeColor="text1"/>
                <w:lang w:eastAsia="zh-CN"/>
              </w:rPr>
            </w:pPr>
            <w:r w:rsidRPr="006A4A36">
              <w:rPr>
                <w:rFonts w:ascii="微软雅黑" w:eastAsia="微软雅黑" w:hAnsi="微软雅黑" w:hint="eastAsia"/>
                <w:color w:val="000000" w:themeColor="text1"/>
                <w:lang w:eastAsia="zh-CN"/>
              </w:rPr>
              <w:lastRenderedPageBreak/>
              <w:t>美元美债方面，美元指数高位横盘，最终收涨</w:t>
            </w:r>
            <w:r w:rsidRPr="006A4A36">
              <w:rPr>
                <w:rFonts w:ascii="微软雅黑" w:eastAsia="微软雅黑" w:hAnsi="微软雅黑"/>
                <w:color w:val="000000" w:themeColor="text1"/>
                <w:lang w:eastAsia="zh-CN"/>
              </w:rPr>
              <w:t>0.025%</w:t>
            </w:r>
            <w:r w:rsidRPr="006A4A36">
              <w:rPr>
                <w:rFonts w:ascii="微软雅黑" w:eastAsia="微软雅黑" w:hAnsi="微软雅黑" w:hint="eastAsia"/>
                <w:color w:val="000000" w:themeColor="text1"/>
                <w:lang w:eastAsia="zh-CN"/>
              </w:rPr>
              <w:t>，报</w:t>
            </w:r>
            <w:r w:rsidRPr="006A4A36">
              <w:rPr>
                <w:rFonts w:ascii="微软雅黑" w:eastAsia="微软雅黑" w:hAnsi="微软雅黑"/>
                <w:color w:val="000000" w:themeColor="text1"/>
                <w:lang w:eastAsia="zh-CN"/>
              </w:rPr>
              <w:t>101.47</w:t>
            </w:r>
            <w:r w:rsidRPr="006A4A36">
              <w:rPr>
                <w:rFonts w:ascii="微软雅黑" w:eastAsia="微软雅黑" w:hAnsi="微软雅黑" w:hint="eastAsia"/>
                <w:color w:val="000000" w:themeColor="text1"/>
                <w:lang w:eastAsia="zh-CN"/>
              </w:rPr>
              <w:t>，创</w:t>
            </w:r>
            <w:r w:rsidRPr="006A4A36">
              <w:rPr>
                <w:rFonts w:ascii="微软雅黑" w:eastAsia="微软雅黑" w:hAnsi="微软雅黑"/>
                <w:color w:val="000000" w:themeColor="text1"/>
                <w:lang w:eastAsia="zh-CN"/>
              </w:rPr>
              <w:t>6</w:t>
            </w:r>
            <w:r w:rsidRPr="006A4A36">
              <w:rPr>
                <w:rFonts w:ascii="微软雅黑" w:eastAsia="微软雅黑" w:hAnsi="微软雅黑" w:hint="eastAsia"/>
                <w:color w:val="000000" w:themeColor="text1"/>
                <w:lang w:eastAsia="zh-CN"/>
              </w:rPr>
              <w:t>月中以来最大单周涨幅；基准的</w:t>
            </w:r>
            <w:r w:rsidRPr="006A4A36">
              <w:rPr>
                <w:rFonts w:ascii="微软雅黑" w:eastAsia="微软雅黑" w:hAnsi="微软雅黑"/>
                <w:color w:val="000000" w:themeColor="text1"/>
                <w:lang w:eastAsia="zh-CN"/>
              </w:rPr>
              <w:t>10</w:t>
            </w:r>
            <w:r w:rsidRPr="006A4A36">
              <w:rPr>
                <w:rFonts w:ascii="微软雅黑" w:eastAsia="微软雅黑" w:hAnsi="微软雅黑" w:hint="eastAsia"/>
                <w:color w:val="000000" w:themeColor="text1"/>
                <w:lang w:eastAsia="zh-CN"/>
              </w:rPr>
              <w:t>年期美债收益率收报</w:t>
            </w:r>
            <w:r w:rsidRPr="006A4A36">
              <w:rPr>
                <w:rFonts w:ascii="微软雅黑" w:eastAsia="微软雅黑" w:hAnsi="微软雅黑"/>
                <w:color w:val="000000" w:themeColor="text1"/>
                <w:lang w:eastAsia="zh-CN"/>
              </w:rPr>
              <w:t>4.687%</w:t>
            </w:r>
            <w:r w:rsidRPr="006A4A36">
              <w:rPr>
                <w:rFonts w:ascii="微软雅黑" w:eastAsia="微软雅黑" w:hAnsi="微软雅黑" w:hint="eastAsia"/>
                <w:color w:val="000000" w:themeColor="text1"/>
                <w:lang w:eastAsia="zh-CN"/>
              </w:rPr>
              <w:t>，对美联储政策利率敏感的</w:t>
            </w:r>
            <w:r w:rsidRPr="006A4A36">
              <w:rPr>
                <w:rFonts w:ascii="微软雅黑" w:eastAsia="微软雅黑" w:hAnsi="微软雅黑"/>
                <w:color w:val="000000" w:themeColor="text1"/>
                <w:lang w:eastAsia="zh-CN"/>
              </w:rPr>
              <w:t>2</w:t>
            </w:r>
            <w:r w:rsidRPr="006A4A36">
              <w:rPr>
                <w:rFonts w:ascii="微软雅黑" w:eastAsia="微软雅黑" w:hAnsi="微软雅黑" w:hint="eastAsia"/>
                <w:color w:val="000000" w:themeColor="text1"/>
                <w:lang w:eastAsia="zh-CN"/>
              </w:rPr>
              <w:t>年期美债收益率收报</w:t>
            </w:r>
            <w:r w:rsidRPr="006A4A36">
              <w:rPr>
                <w:rFonts w:ascii="微软雅黑" w:eastAsia="微软雅黑" w:hAnsi="微软雅黑"/>
                <w:color w:val="000000" w:themeColor="text1"/>
                <w:lang w:eastAsia="zh-CN"/>
              </w:rPr>
              <w:t>4.342%</w:t>
            </w:r>
            <w:r w:rsidRPr="006A4A36">
              <w:rPr>
                <w:rFonts w:ascii="微软雅黑" w:eastAsia="微软雅黑" w:hAnsi="微软雅黑" w:hint="eastAsia"/>
                <w:color w:val="000000" w:themeColor="text1"/>
                <w:lang w:eastAsia="zh-CN"/>
              </w:rPr>
              <w:t>。</w:t>
            </w:r>
          </w:p>
          <w:p w14:paraId="23BF69B8" w14:textId="77777777" w:rsidR="006A4A36" w:rsidRPr="006A4A36" w:rsidRDefault="006A4A36" w:rsidP="006A4A36">
            <w:pPr>
              <w:rPr>
                <w:rFonts w:ascii="微软雅黑" w:eastAsia="微软雅黑" w:hAnsi="微软雅黑"/>
                <w:color w:val="000000" w:themeColor="text1"/>
                <w:lang w:eastAsia="zh-CN"/>
              </w:rPr>
            </w:pPr>
            <w:r w:rsidRPr="006A4A36">
              <w:rPr>
                <w:rFonts w:ascii="微软雅黑" w:eastAsia="微软雅黑" w:hAnsi="微软雅黑" w:hint="eastAsia"/>
                <w:color w:val="000000" w:themeColor="text1"/>
                <w:lang w:eastAsia="zh-CN"/>
              </w:rPr>
              <w:t>库存方面，</w:t>
            </w:r>
            <w:r w:rsidRPr="006A4A36">
              <w:rPr>
                <w:rFonts w:ascii="微软雅黑" w:eastAsia="微软雅黑" w:hAnsi="微软雅黑"/>
                <w:color w:val="000000" w:themeColor="text1"/>
                <w:lang w:eastAsia="zh-CN"/>
              </w:rPr>
              <w:t>2026</w:t>
            </w:r>
            <w:r w:rsidRPr="006A4A36">
              <w:rPr>
                <w:rFonts w:ascii="微软雅黑" w:eastAsia="微软雅黑" w:hAnsi="微软雅黑" w:hint="eastAsia"/>
                <w:color w:val="000000" w:themeColor="text1"/>
                <w:lang w:eastAsia="zh-CN"/>
              </w:rPr>
              <w:t>年</w:t>
            </w:r>
            <w:r w:rsidRPr="006A4A36">
              <w:rPr>
                <w:rFonts w:ascii="微软雅黑" w:eastAsia="微软雅黑" w:hAnsi="微软雅黑"/>
                <w:color w:val="000000" w:themeColor="text1"/>
                <w:lang w:eastAsia="zh-CN"/>
              </w:rPr>
              <w:t>7</w:t>
            </w:r>
            <w:r w:rsidRPr="006A4A36">
              <w:rPr>
                <w:rFonts w:ascii="微软雅黑" w:eastAsia="微软雅黑" w:hAnsi="微软雅黑" w:hint="eastAsia"/>
                <w:color w:val="000000" w:themeColor="text1"/>
                <w:lang w:eastAsia="zh-CN"/>
              </w:rPr>
              <w:t>月</w:t>
            </w:r>
            <w:r w:rsidRPr="006A4A36">
              <w:rPr>
                <w:rFonts w:ascii="微软雅黑" w:eastAsia="微软雅黑" w:hAnsi="微软雅黑"/>
                <w:color w:val="000000" w:themeColor="text1"/>
                <w:lang w:eastAsia="zh-CN"/>
              </w:rPr>
              <w:t>24</w:t>
            </w:r>
            <w:r w:rsidRPr="006A4A36">
              <w:rPr>
                <w:rFonts w:ascii="微软雅黑" w:eastAsia="微软雅黑" w:hAnsi="微软雅黑" w:hint="eastAsia"/>
                <w:color w:val="000000" w:themeColor="text1"/>
                <w:lang w:eastAsia="zh-CN"/>
              </w:rPr>
              <w:t>日，</w:t>
            </w:r>
            <w:r w:rsidRPr="006A4A36">
              <w:rPr>
                <w:rFonts w:ascii="微软雅黑" w:eastAsia="微软雅黑" w:hAnsi="微软雅黑"/>
                <w:color w:val="000000" w:themeColor="text1"/>
                <w:lang w:eastAsia="zh-CN"/>
              </w:rPr>
              <w:t>LME</w:t>
            </w:r>
            <w:r w:rsidRPr="006A4A36">
              <w:rPr>
                <w:rFonts w:ascii="微软雅黑" w:eastAsia="微软雅黑" w:hAnsi="微软雅黑" w:hint="eastAsia"/>
                <w:color w:val="000000" w:themeColor="text1"/>
                <w:lang w:eastAsia="zh-CN"/>
              </w:rPr>
              <w:t>总库存为</w:t>
            </w:r>
            <w:r w:rsidRPr="006A4A36">
              <w:rPr>
                <w:rFonts w:ascii="微软雅黑" w:eastAsia="微软雅黑" w:hAnsi="微软雅黑"/>
                <w:color w:val="000000" w:themeColor="text1"/>
                <w:lang w:eastAsia="zh-CN"/>
              </w:rPr>
              <w:t>276775</w:t>
            </w:r>
            <w:r w:rsidRPr="006A4A36">
              <w:rPr>
                <w:rFonts w:ascii="微软雅黑" w:eastAsia="微软雅黑" w:hAnsi="微软雅黑" w:hint="eastAsia"/>
                <w:color w:val="000000" w:themeColor="text1"/>
                <w:lang w:eastAsia="zh-CN"/>
              </w:rPr>
              <w:t>吨，较上周环比</w:t>
            </w:r>
            <w:r w:rsidRPr="006A4A36">
              <w:rPr>
                <w:rFonts w:ascii="微软雅黑" w:eastAsia="微软雅黑" w:hAnsi="微软雅黑"/>
                <w:color w:val="000000" w:themeColor="text1"/>
                <w:lang w:eastAsia="zh-CN"/>
              </w:rPr>
              <w:t>-19850</w:t>
            </w:r>
            <w:r w:rsidRPr="006A4A36">
              <w:rPr>
                <w:rFonts w:ascii="微软雅黑" w:eastAsia="微软雅黑" w:hAnsi="微软雅黑" w:hint="eastAsia"/>
                <w:color w:val="000000" w:themeColor="text1"/>
                <w:lang w:eastAsia="zh-CN"/>
              </w:rPr>
              <w:t>吨；</w:t>
            </w:r>
            <w:r w:rsidRPr="006A4A36">
              <w:rPr>
                <w:rFonts w:ascii="微软雅黑" w:eastAsia="微软雅黑" w:hAnsi="微软雅黑"/>
                <w:color w:val="000000" w:themeColor="text1"/>
                <w:lang w:eastAsia="zh-CN"/>
              </w:rPr>
              <w:t>COMEX</w:t>
            </w:r>
            <w:r w:rsidRPr="006A4A36">
              <w:rPr>
                <w:rFonts w:ascii="微软雅黑" w:eastAsia="微软雅黑" w:hAnsi="微软雅黑" w:hint="eastAsia"/>
                <w:color w:val="000000" w:themeColor="text1"/>
                <w:lang w:eastAsia="zh-CN"/>
              </w:rPr>
              <w:t>总库为</w:t>
            </w:r>
            <w:r w:rsidRPr="006A4A36">
              <w:rPr>
                <w:rFonts w:ascii="微软雅黑" w:eastAsia="微软雅黑" w:hAnsi="微软雅黑"/>
                <w:color w:val="000000" w:themeColor="text1"/>
                <w:lang w:eastAsia="zh-CN"/>
              </w:rPr>
              <w:t>706328</w:t>
            </w:r>
            <w:r w:rsidRPr="006A4A36">
              <w:rPr>
                <w:rFonts w:ascii="微软雅黑" w:eastAsia="微软雅黑" w:hAnsi="微软雅黑" w:hint="eastAsia"/>
                <w:color w:val="000000" w:themeColor="text1"/>
                <w:lang w:eastAsia="zh-CN"/>
              </w:rPr>
              <w:t>短吨，较上周环比</w:t>
            </w:r>
            <w:r w:rsidRPr="006A4A36">
              <w:rPr>
                <w:rFonts w:ascii="微软雅黑" w:eastAsia="微软雅黑" w:hAnsi="微软雅黑"/>
                <w:color w:val="000000" w:themeColor="text1"/>
                <w:lang w:eastAsia="zh-CN"/>
              </w:rPr>
              <w:t>+11550</w:t>
            </w:r>
            <w:r w:rsidRPr="006A4A36">
              <w:rPr>
                <w:rFonts w:ascii="微软雅黑" w:eastAsia="微软雅黑" w:hAnsi="微软雅黑" w:hint="eastAsia"/>
                <w:color w:val="000000" w:themeColor="text1"/>
                <w:lang w:eastAsia="zh-CN"/>
              </w:rPr>
              <w:t>短吨；</w:t>
            </w:r>
            <w:r w:rsidRPr="006A4A36">
              <w:rPr>
                <w:rFonts w:ascii="微软雅黑" w:eastAsia="微软雅黑" w:hAnsi="微软雅黑"/>
                <w:color w:val="000000" w:themeColor="text1"/>
                <w:lang w:eastAsia="zh-CN"/>
              </w:rPr>
              <w:t>SHFE</w:t>
            </w:r>
            <w:r w:rsidRPr="006A4A36">
              <w:rPr>
                <w:rFonts w:ascii="微软雅黑" w:eastAsia="微软雅黑" w:hAnsi="微软雅黑" w:hint="eastAsia"/>
                <w:color w:val="000000" w:themeColor="text1"/>
                <w:lang w:eastAsia="zh-CN"/>
              </w:rPr>
              <w:t>库存为</w:t>
            </w:r>
            <w:r w:rsidRPr="006A4A36">
              <w:rPr>
                <w:rFonts w:ascii="微软雅黑" w:eastAsia="微软雅黑" w:hAnsi="微软雅黑"/>
                <w:color w:val="000000" w:themeColor="text1"/>
                <w:lang w:eastAsia="zh-CN"/>
              </w:rPr>
              <w:t>69610</w:t>
            </w:r>
            <w:r w:rsidRPr="006A4A36">
              <w:rPr>
                <w:rFonts w:ascii="微软雅黑" w:eastAsia="微软雅黑" w:hAnsi="微软雅黑" w:hint="eastAsia"/>
                <w:color w:val="000000" w:themeColor="text1"/>
                <w:lang w:eastAsia="zh-CN"/>
              </w:rPr>
              <w:t>吨，较上周环比</w:t>
            </w:r>
            <w:r w:rsidRPr="006A4A36">
              <w:rPr>
                <w:rFonts w:ascii="微软雅黑" w:eastAsia="微软雅黑" w:hAnsi="微软雅黑"/>
                <w:color w:val="000000" w:themeColor="text1"/>
                <w:lang w:eastAsia="zh-CN"/>
              </w:rPr>
              <w:t>-10299</w:t>
            </w:r>
            <w:r w:rsidRPr="006A4A36">
              <w:rPr>
                <w:rFonts w:ascii="微软雅黑" w:eastAsia="微软雅黑" w:hAnsi="微软雅黑" w:hint="eastAsia"/>
                <w:color w:val="000000" w:themeColor="text1"/>
                <w:lang w:eastAsia="zh-CN"/>
              </w:rPr>
              <w:t>吨。</w:t>
            </w:r>
          </w:p>
          <w:p w14:paraId="46769F24" w14:textId="0147754A" w:rsidR="00B86245" w:rsidRPr="003E0237" w:rsidRDefault="006A4A36" w:rsidP="006A4A36">
            <w:pPr>
              <w:rPr>
                <w:rFonts w:ascii="微软雅黑" w:eastAsia="微软雅黑" w:hAnsi="微软雅黑" w:hint="eastAsia"/>
                <w:color w:val="000000" w:themeColor="text1"/>
                <w:lang w:eastAsia="zh-CN"/>
              </w:rPr>
            </w:pPr>
            <w:r w:rsidRPr="006A4A36">
              <w:rPr>
                <w:rFonts w:ascii="微软雅黑" w:eastAsia="微软雅黑" w:hAnsi="微软雅黑" w:hint="eastAsia"/>
                <w:color w:val="000000" w:themeColor="text1"/>
                <w:lang w:eastAsia="zh-CN"/>
              </w:rPr>
              <w:t>走势方面，隔夜</w:t>
            </w:r>
            <w:r w:rsidRPr="006A4A36">
              <w:rPr>
                <w:rFonts w:ascii="微软雅黑" w:eastAsia="微软雅黑" w:hAnsi="微软雅黑"/>
                <w:color w:val="000000" w:themeColor="text1"/>
                <w:lang w:eastAsia="zh-CN"/>
              </w:rPr>
              <w:t>COMEX</w:t>
            </w:r>
            <w:r w:rsidRPr="006A4A36">
              <w:rPr>
                <w:rFonts w:ascii="微软雅黑" w:eastAsia="微软雅黑" w:hAnsi="微软雅黑" w:hint="eastAsia"/>
                <w:color w:val="000000" w:themeColor="text1"/>
                <w:lang w:eastAsia="zh-CN"/>
              </w:rPr>
              <w:t>铜主力合约震荡走势，涨跌幅</w:t>
            </w:r>
            <w:r w:rsidRPr="006A4A36">
              <w:rPr>
                <w:rFonts w:ascii="微软雅黑" w:eastAsia="微软雅黑" w:hAnsi="微软雅黑"/>
                <w:color w:val="000000" w:themeColor="text1"/>
                <w:lang w:eastAsia="zh-CN"/>
              </w:rPr>
              <w:t>+0.13%</w:t>
            </w:r>
            <w:r w:rsidRPr="006A4A36">
              <w:rPr>
                <w:rFonts w:ascii="微软雅黑" w:eastAsia="微软雅黑" w:hAnsi="微软雅黑" w:hint="eastAsia"/>
                <w:color w:val="000000" w:themeColor="text1"/>
                <w:lang w:eastAsia="zh-CN"/>
              </w:rPr>
              <w:t>，报收</w:t>
            </w:r>
            <w:r w:rsidRPr="006A4A36">
              <w:rPr>
                <w:rFonts w:ascii="微软雅黑" w:eastAsia="微软雅黑" w:hAnsi="微软雅黑"/>
                <w:color w:val="000000" w:themeColor="text1"/>
                <w:lang w:eastAsia="zh-CN"/>
              </w:rPr>
              <w:t>6.366</w:t>
            </w:r>
            <w:r w:rsidRPr="006A4A36">
              <w:rPr>
                <w:rFonts w:ascii="微软雅黑" w:eastAsia="微软雅黑" w:hAnsi="微软雅黑" w:hint="eastAsia"/>
                <w:color w:val="000000" w:themeColor="text1"/>
                <w:lang w:eastAsia="zh-CN"/>
              </w:rPr>
              <w:t>美元</w:t>
            </w:r>
            <w:r w:rsidRPr="006A4A36">
              <w:rPr>
                <w:rFonts w:ascii="微软雅黑" w:eastAsia="微软雅黑" w:hAnsi="微软雅黑"/>
                <w:color w:val="000000" w:themeColor="text1"/>
                <w:lang w:eastAsia="zh-CN"/>
              </w:rPr>
              <w:t>/</w:t>
            </w:r>
            <w:r w:rsidRPr="006A4A36">
              <w:rPr>
                <w:rFonts w:ascii="微软雅黑" w:eastAsia="微软雅黑" w:hAnsi="微软雅黑" w:hint="eastAsia"/>
                <w:color w:val="000000" w:themeColor="text1"/>
                <w:lang w:eastAsia="zh-CN"/>
              </w:rPr>
              <w:t>磅。操作建议，轻仓逢低短多交易，仅供参考</w:t>
            </w:r>
            <w:r w:rsidR="003E0237" w:rsidRPr="003E0237">
              <w:rPr>
                <w:rFonts w:ascii="微软雅黑" w:eastAsia="微软雅黑" w:hAnsi="微软雅黑" w:hint="eastAsia"/>
                <w:color w:val="000000" w:themeColor="text1"/>
                <w:lang w:eastAsia="zh-CN"/>
              </w:rPr>
              <w:t>。</w:t>
            </w:r>
          </w:p>
        </w:tc>
      </w:tr>
      <w:tr w:rsidR="00B86245" w14:paraId="4FBB74F1"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3EDAE1F" w14:textId="77777777" w:rsidR="00B86245" w:rsidRDefault="00B86245" w:rsidP="00B86245">
            <w:pPr>
              <w:pStyle w:val="TableText"/>
              <w:spacing w:before="234" w:line="191" w:lineRule="auto"/>
              <w:jc w:val="center"/>
              <w:rPr>
                <w:rFonts w:hint="eastAsia"/>
                <w:sz w:val="19"/>
                <w:szCs w:val="19"/>
                <w:lang w:eastAsia="zh-CN"/>
              </w:rPr>
            </w:pPr>
            <w:r>
              <w:rPr>
                <w:b/>
                <w:bCs/>
                <w:sz w:val="19"/>
                <w:szCs w:val="19"/>
              </w:rPr>
              <w:lastRenderedPageBreak/>
              <w:t>ICE原糖</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16A0D6D1" w14:textId="77777777" w:rsidR="006A4A36" w:rsidRPr="006A4A36" w:rsidRDefault="006A4A36" w:rsidP="006A4A36">
            <w:pPr>
              <w:rPr>
                <w:rFonts w:ascii="微软雅黑" w:eastAsia="微软雅黑" w:hAnsi="微软雅黑"/>
                <w:lang w:eastAsia="zh"/>
              </w:rPr>
            </w:pPr>
            <w:r w:rsidRPr="006A4A36">
              <w:rPr>
                <w:rFonts w:ascii="微软雅黑" w:eastAsia="微软雅黑" w:hAnsi="微软雅黑" w:hint="eastAsia"/>
                <w:lang w:eastAsia="zh"/>
              </w:rPr>
              <w:t>本周美糖</w:t>
            </w:r>
            <w:r w:rsidRPr="006A4A36">
              <w:rPr>
                <w:rFonts w:ascii="微软雅黑" w:eastAsia="微软雅黑" w:hAnsi="微软雅黑"/>
                <w:lang w:eastAsia="zh"/>
              </w:rPr>
              <w:t>10</w:t>
            </w:r>
            <w:r w:rsidRPr="006A4A36">
              <w:rPr>
                <w:rFonts w:ascii="微软雅黑" w:eastAsia="微软雅黑" w:hAnsi="微软雅黑" w:hint="eastAsia"/>
                <w:lang w:eastAsia="zh"/>
              </w:rPr>
              <w:t>月合约期价下跌，周度跌幅约</w:t>
            </w:r>
            <w:r w:rsidRPr="006A4A36">
              <w:rPr>
                <w:rFonts w:ascii="微软雅黑" w:eastAsia="微软雅黑" w:hAnsi="微软雅黑"/>
                <w:lang w:eastAsia="zh"/>
              </w:rPr>
              <w:t>0.40%</w:t>
            </w:r>
            <w:r w:rsidRPr="006A4A36">
              <w:rPr>
                <w:rFonts w:ascii="微软雅黑" w:eastAsia="微软雅黑" w:hAnsi="微软雅黑" w:hint="eastAsia"/>
                <w:lang w:eastAsia="zh"/>
              </w:rPr>
              <w:t>，由于巴西汽油乙醇掺混政策存在变数。</w:t>
            </w:r>
          </w:p>
          <w:p w14:paraId="4A4838E5" w14:textId="335DCE58" w:rsidR="00B86245" w:rsidRPr="009877C3" w:rsidRDefault="006A4A36" w:rsidP="006A4A36">
            <w:pPr>
              <w:rPr>
                <w:rFonts w:ascii="微软雅黑" w:eastAsia="微软雅黑" w:hAnsi="微软雅黑" w:hint="eastAsia"/>
                <w:lang w:eastAsia="zh-CN"/>
              </w:rPr>
            </w:pPr>
            <w:r w:rsidRPr="006A4A36">
              <w:rPr>
                <w:rFonts w:ascii="微软雅黑" w:eastAsia="微软雅黑" w:hAnsi="微软雅黑" w:hint="eastAsia"/>
                <w:lang w:eastAsia="zh"/>
              </w:rPr>
              <w:t>国际方面，巴西航运机构</w:t>
            </w:r>
            <w:r w:rsidRPr="006A4A36">
              <w:rPr>
                <w:rFonts w:ascii="微软雅黑" w:eastAsia="微软雅黑" w:hAnsi="微软雅黑"/>
                <w:lang w:eastAsia="zh"/>
              </w:rPr>
              <w:t>Williams</w:t>
            </w:r>
            <w:r w:rsidRPr="006A4A36">
              <w:rPr>
                <w:rFonts w:ascii="微软雅黑" w:eastAsia="微软雅黑" w:hAnsi="微软雅黑" w:hint="eastAsia"/>
                <w:lang w:eastAsia="zh"/>
              </w:rPr>
              <w:t>发布的数据显示，截至</w:t>
            </w:r>
            <w:r w:rsidRPr="006A4A36">
              <w:rPr>
                <w:rFonts w:ascii="微软雅黑" w:eastAsia="微软雅黑" w:hAnsi="微软雅黑"/>
                <w:lang w:eastAsia="zh"/>
              </w:rPr>
              <w:t>7</w:t>
            </w:r>
            <w:r w:rsidRPr="006A4A36">
              <w:rPr>
                <w:rFonts w:ascii="微软雅黑" w:eastAsia="微软雅黑" w:hAnsi="微软雅黑" w:hint="eastAsia"/>
                <w:lang w:eastAsia="zh"/>
              </w:rPr>
              <w:t>月</w:t>
            </w:r>
            <w:r w:rsidRPr="006A4A36">
              <w:rPr>
                <w:rFonts w:ascii="微软雅黑" w:eastAsia="微软雅黑" w:hAnsi="微软雅黑"/>
                <w:lang w:eastAsia="zh"/>
              </w:rPr>
              <w:t>22</w:t>
            </w:r>
            <w:r w:rsidRPr="006A4A36">
              <w:rPr>
                <w:rFonts w:ascii="微软雅黑" w:eastAsia="微软雅黑" w:hAnsi="微软雅黑" w:hint="eastAsia"/>
                <w:lang w:eastAsia="zh"/>
              </w:rPr>
              <w:t>日当周，巴西港口等待装运食糖的船只数量为</w:t>
            </w:r>
            <w:r w:rsidRPr="006A4A36">
              <w:rPr>
                <w:rFonts w:ascii="微软雅黑" w:eastAsia="微软雅黑" w:hAnsi="微软雅黑"/>
                <w:lang w:eastAsia="zh"/>
              </w:rPr>
              <w:t>43</w:t>
            </w:r>
            <w:r w:rsidRPr="006A4A36">
              <w:rPr>
                <w:rFonts w:ascii="微软雅黑" w:eastAsia="微软雅黑" w:hAnsi="微软雅黑" w:hint="eastAsia"/>
                <w:lang w:eastAsia="zh"/>
              </w:rPr>
              <w:t>艘，此前一周为</w:t>
            </w:r>
            <w:r w:rsidRPr="006A4A36">
              <w:rPr>
                <w:rFonts w:ascii="微软雅黑" w:eastAsia="微软雅黑" w:hAnsi="微软雅黑"/>
                <w:lang w:eastAsia="zh"/>
              </w:rPr>
              <w:t>510</w:t>
            </w:r>
            <w:r w:rsidRPr="006A4A36">
              <w:rPr>
                <w:rFonts w:ascii="微软雅黑" w:eastAsia="微软雅黑" w:hAnsi="微软雅黑" w:hint="eastAsia"/>
                <w:lang w:eastAsia="zh"/>
              </w:rPr>
              <w:t>艘。港口等待装运的食糖数量为</w:t>
            </w:r>
            <w:r w:rsidRPr="006A4A36">
              <w:rPr>
                <w:rFonts w:ascii="微软雅黑" w:eastAsia="微软雅黑" w:hAnsi="微软雅黑"/>
                <w:lang w:eastAsia="zh"/>
              </w:rPr>
              <w:t>183.21</w:t>
            </w:r>
            <w:r w:rsidRPr="006A4A36">
              <w:rPr>
                <w:rFonts w:ascii="微软雅黑" w:eastAsia="微软雅黑" w:hAnsi="微软雅黑" w:hint="eastAsia"/>
                <w:lang w:eastAsia="zh"/>
              </w:rPr>
              <w:t>万吨，此前一周为</w:t>
            </w:r>
            <w:r w:rsidRPr="006A4A36">
              <w:rPr>
                <w:rFonts w:ascii="微软雅黑" w:eastAsia="微软雅黑" w:hAnsi="微软雅黑"/>
                <w:lang w:eastAsia="zh"/>
              </w:rPr>
              <w:t>217.6</w:t>
            </w:r>
            <w:r w:rsidRPr="006A4A36">
              <w:rPr>
                <w:rFonts w:ascii="微软雅黑" w:eastAsia="微软雅黑" w:hAnsi="微软雅黑" w:hint="eastAsia"/>
                <w:lang w:eastAsia="zh"/>
              </w:rPr>
              <w:t>万吨。其中桑托斯港等待出口的食糖数量为</w:t>
            </w:r>
            <w:r w:rsidRPr="006A4A36">
              <w:rPr>
                <w:rFonts w:ascii="微软雅黑" w:eastAsia="微软雅黑" w:hAnsi="微软雅黑"/>
                <w:lang w:eastAsia="zh"/>
              </w:rPr>
              <w:t>157.48</w:t>
            </w:r>
            <w:r w:rsidRPr="006A4A36">
              <w:rPr>
                <w:rFonts w:ascii="微软雅黑" w:eastAsia="微软雅黑" w:hAnsi="微软雅黑" w:hint="eastAsia"/>
                <w:lang w:eastAsia="zh"/>
              </w:rPr>
              <w:t>万吨。当周等待装运出口的食糖船只数量下降为主。</w:t>
            </w:r>
          </w:p>
        </w:tc>
      </w:tr>
      <w:tr w:rsidR="00B86245" w14:paraId="710456DB" w14:textId="77777777" w:rsidTr="00AC5973">
        <w:trPr>
          <w:trHeight w:val="332"/>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58233E4" w14:textId="77777777" w:rsidR="00B86245" w:rsidRDefault="00B86245" w:rsidP="00B86245">
            <w:pPr>
              <w:pStyle w:val="TableText"/>
              <w:spacing w:before="234" w:line="191" w:lineRule="auto"/>
              <w:jc w:val="center"/>
              <w:rPr>
                <w:rFonts w:hint="eastAsia"/>
                <w:b/>
                <w:bCs/>
                <w:spacing w:val="3"/>
                <w:sz w:val="19"/>
                <w:szCs w:val="19"/>
                <w:lang w:eastAsia="zh-CN"/>
              </w:rPr>
            </w:pPr>
            <w:r>
              <w:rPr>
                <w:b/>
                <w:bCs/>
                <w:sz w:val="19"/>
                <w:szCs w:val="19"/>
              </w:rPr>
              <w:t>ICE</w:t>
            </w:r>
            <w:r>
              <w:rPr>
                <w:rFonts w:hint="eastAsia"/>
                <w:b/>
                <w:bCs/>
                <w:sz w:val="19"/>
                <w:szCs w:val="19"/>
                <w:lang w:eastAsia="zh-CN"/>
              </w:rPr>
              <w:t>棉花</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56C224A3" w14:textId="6ACDE352" w:rsidR="00B86245" w:rsidRPr="009E7C92" w:rsidRDefault="006A4A36" w:rsidP="006A4A36">
            <w:pPr>
              <w:rPr>
                <w:rFonts w:ascii="微软雅黑" w:eastAsia="微软雅黑" w:hAnsi="微软雅黑" w:hint="eastAsia"/>
                <w:lang w:eastAsia="zh"/>
              </w:rPr>
            </w:pPr>
            <w:r w:rsidRPr="006A4A36">
              <w:rPr>
                <w:rFonts w:ascii="微软雅黑" w:eastAsia="微软雅黑" w:hAnsi="微软雅黑" w:hint="eastAsia"/>
                <w:lang w:eastAsia="zh"/>
              </w:rPr>
              <w:t>本周美棉</w:t>
            </w:r>
            <w:r w:rsidRPr="006A4A36">
              <w:rPr>
                <w:rFonts w:ascii="微软雅黑" w:eastAsia="微软雅黑" w:hAnsi="微软雅黑"/>
                <w:lang w:eastAsia="zh"/>
              </w:rPr>
              <w:t>12</w:t>
            </w:r>
            <w:r w:rsidRPr="006A4A36">
              <w:rPr>
                <w:rFonts w:ascii="微软雅黑" w:eastAsia="微软雅黑" w:hAnsi="微软雅黑" w:hint="eastAsia"/>
                <w:lang w:eastAsia="zh"/>
              </w:rPr>
              <w:t>月合约价格上涨，周度涨幅约</w:t>
            </w:r>
            <w:r w:rsidRPr="006A4A36">
              <w:rPr>
                <w:rFonts w:ascii="微软雅黑" w:eastAsia="微软雅黑" w:hAnsi="微软雅黑"/>
                <w:lang w:eastAsia="zh"/>
              </w:rPr>
              <w:t>1.60%</w:t>
            </w:r>
            <w:r w:rsidRPr="006A4A36">
              <w:rPr>
                <w:rFonts w:ascii="微软雅黑" w:eastAsia="微软雅黑" w:hAnsi="微软雅黑" w:hint="eastAsia"/>
                <w:lang w:eastAsia="zh"/>
              </w:rPr>
              <w:t>，主要受外部农产品及能源价格上涨的联动影响。国际方面，据美国农业部</w:t>
            </w:r>
            <w:r w:rsidRPr="006A4A36">
              <w:rPr>
                <w:rFonts w:ascii="微软雅黑" w:eastAsia="微软雅黑" w:hAnsi="微软雅黑"/>
                <w:lang w:eastAsia="zh"/>
              </w:rPr>
              <w:t>(USDA)</w:t>
            </w:r>
            <w:r w:rsidRPr="006A4A36">
              <w:rPr>
                <w:rFonts w:ascii="微软雅黑" w:eastAsia="微软雅黑" w:hAnsi="微软雅黑" w:hint="eastAsia"/>
                <w:lang w:eastAsia="zh"/>
              </w:rPr>
              <w:t>报告显示，</w:t>
            </w:r>
            <w:r w:rsidRPr="006A4A36">
              <w:rPr>
                <w:rFonts w:ascii="微软雅黑" w:eastAsia="微软雅黑" w:hAnsi="微软雅黑"/>
                <w:lang w:eastAsia="zh"/>
              </w:rPr>
              <w:t>7</w:t>
            </w:r>
            <w:r w:rsidRPr="006A4A36">
              <w:rPr>
                <w:rFonts w:ascii="微软雅黑" w:eastAsia="微软雅黑" w:hAnsi="微软雅黑" w:hint="eastAsia"/>
                <w:lang w:eastAsia="zh"/>
              </w:rPr>
              <w:t>月</w:t>
            </w:r>
            <w:r w:rsidRPr="006A4A36">
              <w:rPr>
                <w:rFonts w:ascii="微软雅黑" w:eastAsia="微软雅黑" w:hAnsi="微软雅黑"/>
                <w:lang w:eastAsia="zh"/>
              </w:rPr>
              <w:t>16</w:t>
            </w:r>
            <w:r w:rsidRPr="006A4A36">
              <w:rPr>
                <w:rFonts w:ascii="微软雅黑" w:eastAsia="微软雅黑" w:hAnsi="微软雅黑" w:hint="eastAsia"/>
                <w:lang w:eastAsia="zh"/>
              </w:rPr>
              <w:t>日止当周，美国当前年度陆地棉出口销售净增</w:t>
            </w:r>
            <w:r w:rsidRPr="006A4A36">
              <w:rPr>
                <w:rFonts w:ascii="微软雅黑" w:eastAsia="微软雅黑" w:hAnsi="微软雅黑"/>
                <w:lang w:eastAsia="zh"/>
              </w:rPr>
              <w:t>5.12</w:t>
            </w:r>
            <w:r w:rsidRPr="006A4A36">
              <w:rPr>
                <w:rFonts w:ascii="微软雅黑" w:eastAsia="微软雅黑" w:hAnsi="微软雅黑" w:hint="eastAsia"/>
                <w:lang w:eastAsia="zh"/>
              </w:rPr>
              <w:t>万包，较前周增加</w:t>
            </w:r>
            <w:r w:rsidRPr="006A4A36">
              <w:rPr>
                <w:rFonts w:ascii="微软雅黑" w:eastAsia="微软雅黑" w:hAnsi="微软雅黑"/>
                <w:lang w:eastAsia="zh"/>
              </w:rPr>
              <w:t>49%</w:t>
            </w:r>
            <w:r w:rsidRPr="006A4A36">
              <w:rPr>
                <w:rFonts w:ascii="微软雅黑" w:eastAsia="微软雅黑" w:hAnsi="微软雅黑" w:hint="eastAsia"/>
                <w:lang w:eastAsia="zh"/>
              </w:rPr>
              <w:t>，较前四周均值减少</w:t>
            </w:r>
            <w:r w:rsidRPr="006A4A36">
              <w:rPr>
                <w:rFonts w:ascii="微软雅黑" w:eastAsia="微软雅黑" w:hAnsi="微软雅黑"/>
                <w:lang w:eastAsia="zh"/>
              </w:rPr>
              <w:t>12%</w:t>
            </w:r>
            <w:r w:rsidRPr="006A4A36">
              <w:rPr>
                <w:rFonts w:ascii="微软雅黑" w:eastAsia="微软雅黑" w:hAnsi="微软雅黑" w:hint="eastAsia"/>
                <w:lang w:eastAsia="zh"/>
              </w:rPr>
              <w:t>。当周美国陆地棉出口装运量</w:t>
            </w:r>
            <w:r w:rsidRPr="006A4A36">
              <w:rPr>
                <w:rFonts w:ascii="微软雅黑" w:eastAsia="微软雅黑" w:hAnsi="微软雅黑"/>
                <w:lang w:eastAsia="zh"/>
              </w:rPr>
              <w:t>27.6</w:t>
            </w:r>
            <w:r w:rsidRPr="006A4A36">
              <w:rPr>
                <w:rFonts w:ascii="微软雅黑" w:eastAsia="微软雅黑" w:hAnsi="微软雅黑" w:hint="eastAsia"/>
                <w:lang w:eastAsia="zh"/>
              </w:rPr>
              <w:t>万包，较前周增加</w:t>
            </w:r>
            <w:r w:rsidRPr="006A4A36">
              <w:rPr>
                <w:rFonts w:ascii="微软雅黑" w:eastAsia="微软雅黑" w:hAnsi="微软雅黑"/>
                <w:lang w:eastAsia="zh"/>
              </w:rPr>
              <w:t>29%</w:t>
            </w:r>
            <w:r w:rsidRPr="006A4A36">
              <w:rPr>
                <w:rFonts w:ascii="微软雅黑" w:eastAsia="微软雅黑" w:hAnsi="微软雅黑" w:hint="eastAsia"/>
                <w:lang w:eastAsia="zh"/>
              </w:rPr>
              <w:t>，较前四周平均水平增加</w:t>
            </w:r>
            <w:r w:rsidRPr="006A4A36">
              <w:rPr>
                <w:rFonts w:ascii="微软雅黑" w:eastAsia="微软雅黑" w:hAnsi="微软雅黑"/>
                <w:lang w:eastAsia="zh"/>
              </w:rPr>
              <w:t>15%</w:t>
            </w:r>
            <w:r w:rsidRPr="006A4A36">
              <w:rPr>
                <w:rFonts w:ascii="微软雅黑" w:eastAsia="微软雅黑" w:hAnsi="微软雅黑" w:hint="eastAsia"/>
                <w:lang w:eastAsia="zh"/>
              </w:rPr>
              <w:t>。当周美国棉花出口签约量、装船量环比均增加，需求有所好转。</w:t>
            </w:r>
          </w:p>
        </w:tc>
      </w:tr>
      <w:tr w:rsidR="00B86245" w14:paraId="6E442742" w14:textId="77777777" w:rsidTr="0020366A">
        <w:trPr>
          <w:trHeight w:val="340"/>
        </w:trPr>
        <w:tc>
          <w:tcPr>
            <w:tcW w:w="1744" w:type="dxa"/>
            <w:tcBorders>
              <w:top w:val="dotted" w:sz="4" w:space="0" w:color="auto"/>
              <w:left w:val="single" w:sz="4" w:space="0" w:color="FFFFFF"/>
              <w:bottom w:val="dotted" w:sz="4" w:space="0" w:color="auto"/>
              <w:right w:val="dotted" w:sz="4" w:space="0" w:color="auto"/>
            </w:tcBorders>
            <w:shd w:val="clear" w:color="auto" w:fill="D6DCE5"/>
            <w:vAlign w:val="center"/>
          </w:tcPr>
          <w:p w14:paraId="4E850100"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美元指数</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46A179FC" w14:textId="77777777" w:rsidR="006A4A36" w:rsidRPr="006A4A36" w:rsidRDefault="006A4A36" w:rsidP="006A4A36">
            <w:pPr>
              <w:rPr>
                <w:rFonts w:ascii="微软雅黑" w:eastAsia="微软雅黑" w:hAnsi="微软雅黑"/>
                <w:lang w:eastAsia="zh"/>
              </w:rPr>
            </w:pPr>
            <w:r w:rsidRPr="006A4A36">
              <w:rPr>
                <w:rFonts w:ascii="微软雅黑" w:eastAsia="微软雅黑" w:hAnsi="微软雅黑" w:hint="eastAsia"/>
                <w:lang w:eastAsia="zh"/>
              </w:rPr>
              <w:t>截止</w:t>
            </w:r>
            <w:r w:rsidRPr="006A4A36">
              <w:rPr>
                <w:rFonts w:ascii="微软雅黑" w:eastAsia="微软雅黑" w:hAnsi="微软雅黑"/>
                <w:lang w:eastAsia="zh"/>
              </w:rPr>
              <w:t>7</w:t>
            </w:r>
            <w:r w:rsidRPr="006A4A36">
              <w:rPr>
                <w:rFonts w:ascii="微软雅黑" w:eastAsia="微软雅黑" w:hAnsi="微软雅黑" w:hint="eastAsia"/>
                <w:lang w:eastAsia="zh"/>
              </w:rPr>
              <w:t>月</w:t>
            </w:r>
            <w:r w:rsidRPr="006A4A36">
              <w:rPr>
                <w:rFonts w:ascii="微软雅黑" w:eastAsia="微软雅黑" w:hAnsi="微软雅黑"/>
                <w:lang w:eastAsia="zh"/>
              </w:rPr>
              <w:t>24</w:t>
            </w:r>
            <w:r w:rsidRPr="006A4A36">
              <w:rPr>
                <w:rFonts w:ascii="微软雅黑" w:eastAsia="微软雅黑" w:hAnsi="微软雅黑" w:hint="eastAsia"/>
                <w:lang w:eastAsia="zh"/>
              </w:rPr>
              <w:t>日，美元指数涨</w:t>
            </w:r>
            <w:r w:rsidRPr="006A4A36">
              <w:rPr>
                <w:rFonts w:ascii="微软雅黑" w:eastAsia="微软雅黑" w:hAnsi="微软雅黑"/>
                <w:lang w:eastAsia="zh"/>
              </w:rPr>
              <w:t>0.02%</w:t>
            </w:r>
            <w:r w:rsidRPr="006A4A36">
              <w:rPr>
                <w:rFonts w:ascii="微软雅黑" w:eastAsia="微软雅黑" w:hAnsi="微软雅黑" w:hint="eastAsia"/>
                <w:lang w:eastAsia="zh"/>
              </w:rPr>
              <w:t>报</w:t>
            </w:r>
            <w:r w:rsidRPr="006A4A36">
              <w:rPr>
                <w:rFonts w:ascii="微软雅黑" w:eastAsia="微软雅黑" w:hAnsi="微软雅黑"/>
                <w:lang w:eastAsia="zh"/>
              </w:rPr>
              <w:t>101.46</w:t>
            </w:r>
            <w:r w:rsidRPr="006A4A36">
              <w:rPr>
                <w:rFonts w:ascii="微软雅黑" w:eastAsia="微软雅黑" w:hAnsi="微软雅黑" w:hint="eastAsia"/>
                <w:lang w:eastAsia="zh"/>
              </w:rPr>
              <w:t>，周涨</w:t>
            </w:r>
            <w:r w:rsidRPr="006A4A36">
              <w:rPr>
                <w:rFonts w:ascii="微软雅黑" w:eastAsia="微软雅黑" w:hAnsi="微软雅黑"/>
                <w:lang w:eastAsia="zh"/>
              </w:rPr>
              <w:t>0.7%</w:t>
            </w:r>
            <w:r w:rsidRPr="006A4A36">
              <w:rPr>
                <w:rFonts w:ascii="微软雅黑" w:eastAsia="微软雅黑" w:hAnsi="微软雅黑" w:hint="eastAsia"/>
                <w:lang w:eastAsia="zh"/>
              </w:rPr>
              <w:t>；非美货币多数上涨，欧元兑美元跌</w:t>
            </w:r>
            <w:r w:rsidRPr="006A4A36">
              <w:rPr>
                <w:rFonts w:ascii="微软雅黑" w:eastAsia="微软雅黑" w:hAnsi="微软雅黑"/>
                <w:lang w:eastAsia="zh"/>
              </w:rPr>
              <w:t>0.04%</w:t>
            </w:r>
            <w:r w:rsidRPr="006A4A36">
              <w:rPr>
                <w:rFonts w:ascii="微软雅黑" w:eastAsia="微软雅黑" w:hAnsi="微软雅黑" w:hint="eastAsia"/>
                <w:lang w:eastAsia="zh"/>
              </w:rPr>
              <w:t>报</w:t>
            </w:r>
            <w:r w:rsidRPr="006A4A36">
              <w:rPr>
                <w:rFonts w:ascii="微软雅黑" w:eastAsia="微软雅黑" w:hAnsi="微软雅黑"/>
                <w:lang w:eastAsia="zh"/>
              </w:rPr>
              <w:t>1.1373</w:t>
            </w:r>
            <w:r w:rsidRPr="006A4A36">
              <w:rPr>
                <w:rFonts w:ascii="微软雅黑" w:eastAsia="微软雅黑" w:hAnsi="微软雅黑" w:hint="eastAsia"/>
                <w:lang w:eastAsia="zh"/>
              </w:rPr>
              <w:t>，英镑兑美元涨</w:t>
            </w:r>
            <w:r w:rsidRPr="006A4A36">
              <w:rPr>
                <w:rFonts w:ascii="微软雅黑" w:eastAsia="微软雅黑" w:hAnsi="微软雅黑"/>
                <w:lang w:eastAsia="zh"/>
              </w:rPr>
              <w:t>0.07%</w:t>
            </w:r>
            <w:r w:rsidRPr="006A4A36">
              <w:rPr>
                <w:rFonts w:ascii="微软雅黑" w:eastAsia="微软雅黑" w:hAnsi="微软雅黑" w:hint="eastAsia"/>
                <w:lang w:eastAsia="zh"/>
              </w:rPr>
              <w:t>报</w:t>
            </w:r>
            <w:r w:rsidRPr="006A4A36">
              <w:rPr>
                <w:rFonts w:ascii="微软雅黑" w:eastAsia="微软雅黑" w:hAnsi="微软雅黑"/>
                <w:lang w:eastAsia="zh"/>
              </w:rPr>
              <w:t>1.3324</w:t>
            </w:r>
            <w:r w:rsidRPr="006A4A36">
              <w:rPr>
                <w:rFonts w:ascii="微软雅黑" w:eastAsia="微软雅黑" w:hAnsi="微软雅黑" w:hint="eastAsia"/>
                <w:lang w:eastAsia="zh"/>
              </w:rPr>
              <w:t>，美元兑日元跌</w:t>
            </w:r>
            <w:r w:rsidRPr="006A4A36">
              <w:rPr>
                <w:rFonts w:ascii="微软雅黑" w:eastAsia="微软雅黑" w:hAnsi="微软雅黑"/>
                <w:lang w:eastAsia="zh"/>
              </w:rPr>
              <w:t>0.01%</w:t>
            </w:r>
            <w:r w:rsidRPr="006A4A36">
              <w:rPr>
                <w:rFonts w:ascii="微软雅黑" w:eastAsia="微软雅黑" w:hAnsi="微软雅黑" w:hint="eastAsia"/>
                <w:lang w:eastAsia="zh"/>
              </w:rPr>
              <w:t>报</w:t>
            </w:r>
            <w:r w:rsidRPr="006A4A36">
              <w:rPr>
                <w:rFonts w:ascii="微软雅黑" w:eastAsia="微软雅黑" w:hAnsi="微软雅黑"/>
                <w:lang w:eastAsia="zh"/>
              </w:rPr>
              <w:t>163.8525</w:t>
            </w:r>
            <w:r w:rsidRPr="006A4A36">
              <w:rPr>
                <w:rFonts w:ascii="微软雅黑" w:eastAsia="微软雅黑" w:hAnsi="微软雅黑" w:hint="eastAsia"/>
                <w:lang w:eastAsia="zh"/>
              </w:rPr>
              <w:t>。</w:t>
            </w:r>
          </w:p>
          <w:p w14:paraId="3BD1936F" w14:textId="77777777" w:rsidR="006A4A36" w:rsidRPr="006A4A36" w:rsidRDefault="006A4A36" w:rsidP="006A4A36">
            <w:pPr>
              <w:rPr>
                <w:rFonts w:ascii="微软雅黑" w:eastAsia="微软雅黑" w:hAnsi="微软雅黑"/>
                <w:lang w:eastAsia="zh"/>
              </w:rPr>
            </w:pPr>
            <w:r w:rsidRPr="006A4A36">
              <w:rPr>
                <w:rFonts w:ascii="微软雅黑" w:eastAsia="微软雅黑" w:hAnsi="微软雅黑" w:hint="eastAsia"/>
                <w:lang w:eastAsia="zh"/>
              </w:rPr>
              <w:t>美国中期选举压力逐步抬升，特朗普拟恢复针对</w:t>
            </w:r>
            <w:r w:rsidRPr="006A4A36">
              <w:rPr>
                <w:rFonts w:ascii="微软雅黑" w:eastAsia="微软雅黑" w:hAnsi="微软雅黑"/>
                <w:lang w:eastAsia="zh"/>
              </w:rPr>
              <w:t>10</w:t>
            </w:r>
            <w:r w:rsidRPr="006A4A36">
              <w:rPr>
                <w:rFonts w:ascii="微软雅黑" w:eastAsia="微软雅黑" w:hAnsi="微软雅黑" w:hint="eastAsia"/>
                <w:lang w:eastAsia="zh"/>
              </w:rPr>
              <w:t>国的关税加征措施，周内胡塞武装宣布对沙特实施海上封锁，引发红海能源运输担忧，特朗普威胁将对伊朗发动更大规模的军事行动。美伊局势延续反复态势，避险资金流入继续为美元提供较强支撑。货币政策方面，美联储主席沃什反复强调其“抗通胀”决心，市场普遍预计本周</w:t>
            </w:r>
            <w:r w:rsidRPr="006A4A36">
              <w:rPr>
                <w:rFonts w:ascii="微软雅黑" w:eastAsia="微软雅黑" w:hAnsi="微软雅黑"/>
                <w:lang w:eastAsia="zh"/>
              </w:rPr>
              <w:t>FOMC</w:t>
            </w:r>
            <w:r w:rsidRPr="006A4A36">
              <w:rPr>
                <w:rFonts w:ascii="微软雅黑" w:eastAsia="微软雅黑" w:hAnsi="微软雅黑" w:hint="eastAsia"/>
                <w:lang w:eastAsia="zh"/>
              </w:rPr>
              <w:t>会议美联储将维持利率按兵不动。市场对后续收紧政策的预期依然高企，</w:t>
            </w:r>
            <w:r w:rsidRPr="006A4A36">
              <w:rPr>
                <w:rFonts w:ascii="微软雅黑" w:eastAsia="微软雅黑" w:hAnsi="微软雅黑"/>
                <w:lang w:eastAsia="zh"/>
              </w:rPr>
              <w:t>9</w:t>
            </w:r>
            <w:r w:rsidRPr="006A4A36">
              <w:rPr>
                <w:rFonts w:ascii="微软雅黑" w:eastAsia="微软雅黑" w:hAnsi="微软雅黑" w:hint="eastAsia"/>
                <w:lang w:eastAsia="zh"/>
              </w:rPr>
              <w:t>月加息概率仍达到</w:t>
            </w:r>
            <w:r w:rsidRPr="006A4A36">
              <w:rPr>
                <w:rFonts w:ascii="微软雅黑" w:eastAsia="微软雅黑" w:hAnsi="微软雅黑"/>
                <w:lang w:eastAsia="zh"/>
              </w:rPr>
              <w:t>80%</w:t>
            </w:r>
            <w:r w:rsidRPr="006A4A36">
              <w:rPr>
                <w:rFonts w:ascii="微软雅黑" w:eastAsia="微软雅黑" w:hAnsi="微软雅黑" w:hint="eastAsia"/>
                <w:lang w:eastAsia="zh"/>
              </w:rPr>
              <w:t>以上，前期公布的就业及通胀数据均呈现偏弱态势，美元上行阻力仍存，美伊冲突引发的避险需求则构成底部支撑，预计短期美元或维持高位震荡。</w:t>
            </w:r>
          </w:p>
          <w:p w14:paraId="5F843723" w14:textId="7211EFD3" w:rsidR="00B86245" w:rsidRPr="00380003" w:rsidRDefault="006A4A36" w:rsidP="006A4A36">
            <w:pPr>
              <w:rPr>
                <w:rFonts w:ascii="微软雅黑" w:eastAsia="微软雅黑" w:hAnsi="微软雅黑" w:hint="eastAsia"/>
                <w:lang w:eastAsia="zh-CN"/>
              </w:rPr>
            </w:pPr>
            <w:r w:rsidRPr="006A4A36">
              <w:rPr>
                <w:rFonts w:ascii="微软雅黑" w:eastAsia="微软雅黑" w:hAnsi="微软雅黑" w:hint="eastAsia"/>
                <w:lang w:eastAsia="zh"/>
              </w:rPr>
              <w:t>油价上涨带动通胀预期再度走高，市场加码押注欧央行偏紧政策预期，目前已完全消化</w:t>
            </w:r>
            <w:r w:rsidRPr="006A4A36">
              <w:rPr>
                <w:rFonts w:ascii="微软雅黑" w:eastAsia="微软雅黑" w:hAnsi="微软雅黑"/>
                <w:lang w:eastAsia="zh"/>
              </w:rPr>
              <w:t>9</w:t>
            </w:r>
            <w:r w:rsidRPr="006A4A36">
              <w:rPr>
                <w:rFonts w:ascii="微软雅黑" w:eastAsia="微软雅黑" w:hAnsi="微软雅黑" w:hint="eastAsia"/>
                <w:lang w:eastAsia="zh"/>
              </w:rPr>
              <w:t>月加息预期，并预计</w:t>
            </w:r>
            <w:r w:rsidRPr="006A4A36">
              <w:rPr>
                <w:rFonts w:ascii="微软雅黑" w:eastAsia="微软雅黑" w:hAnsi="微软雅黑"/>
                <w:lang w:eastAsia="zh"/>
              </w:rPr>
              <w:t>2027</w:t>
            </w:r>
            <w:r w:rsidRPr="006A4A36">
              <w:rPr>
                <w:rFonts w:ascii="微软雅黑" w:eastAsia="微软雅黑" w:hAnsi="微软雅黑" w:hint="eastAsia"/>
                <w:lang w:eastAsia="zh"/>
              </w:rPr>
              <w:t>年初将再度加息，但欧央行官员立场仍相对谨慎，在美联储鹰派主基调延续、美欧利差持续走阔的背景下，欧元上方阻力仍存。日本方面，日本</w:t>
            </w:r>
            <w:r w:rsidRPr="006A4A36">
              <w:rPr>
                <w:rFonts w:ascii="微软雅黑" w:eastAsia="微软雅黑" w:hAnsi="微软雅黑"/>
                <w:lang w:eastAsia="zh"/>
              </w:rPr>
              <w:t>6</w:t>
            </w:r>
            <w:r w:rsidRPr="006A4A36">
              <w:rPr>
                <w:rFonts w:ascii="微软雅黑" w:eastAsia="微软雅黑" w:hAnsi="微软雅黑" w:hint="eastAsia"/>
                <w:lang w:eastAsia="zh"/>
              </w:rPr>
              <w:t>月核心</w:t>
            </w:r>
            <w:r w:rsidRPr="006A4A36">
              <w:rPr>
                <w:rFonts w:ascii="微软雅黑" w:eastAsia="微软雅黑" w:hAnsi="微软雅黑"/>
                <w:lang w:eastAsia="zh"/>
              </w:rPr>
              <w:t>CPI</w:t>
            </w:r>
            <w:r w:rsidRPr="006A4A36">
              <w:rPr>
                <w:rFonts w:ascii="微软雅黑" w:eastAsia="微软雅黑" w:hAnsi="微软雅黑" w:hint="eastAsia"/>
                <w:lang w:eastAsia="zh"/>
              </w:rPr>
              <w:t>同比上涨</w:t>
            </w:r>
            <w:r w:rsidRPr="006A4A36">
              <w:rPr>
                <w:rFonts w:ascii="微软雅黑" w:eastAsia="微软雅黑" w:hAnsi="微软雅黑"/>
                <w:lang w:eastAsia="zh"/>
              </w:rPr>
              <w:t>1.6%</w:t>
            </w:r>
            <w:r w:rsidRPr="006A4A36">
              <w:rPr>
                <w:rFonts w:ascii="微软雅黑" w:eastAsia="微软雅黑" w:hAnsi="微软雅黑" w:hint="eastAsia"/>
                <w:lang w:eastAsia="zh"/>
              </w:rPr>
              <w:t>，环比增速小幅上行，日本央行仍沿渐进路径推进政策正常化，美日利差劣势、套息交易及避险美元需求持续构成压制，但伴随日元持续运行于敏感区间，汇率干预风险亦同步上升，短期内日元或维持低位弱势运行。</w:t>
            </w:r>
          </w:p>
        </w:tc>
      </w:tr>
      <w:tr w:rsidR="00B86245" w14:paraId="563BD292" w14:textId="77777777" w:rsidTr="009156D8">
        <w:trPr>
          <w:trHeight w:val="70"/>
        </w:trPr>
        <w:tc>
          <w:tcPr>
            <w:tcW w:w="1744" w:type="dxa"/>
            <w:tcBorders>
              <w:top w:val="dotted" w:sz="4" w:space="0" w:color="auto"/>
              <w:left w:val="single" w:sz="4" w:space="0" w:color="FFFFFF"/>
              <w:bottom w:val="single" w:sz="4" w:space="0" w:color="2169C1"/>
              <w:right w:val="dotted" w:sz="4" w:space="0" w:color="auto"/>
            </w:tcBorders>
            <w:shd w:val="clear" w:color="auto" w:fill="D6DCE5"/>
            <w:vAlign w:val="center"/>
          </w:tcPr>
          <w:p w14:paraId="47A2FE3F"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贵金属</w:t>
            </w:r>
          </w:p>
        </w:tc>
        <w:tc>
          <w:tcPr>
            <w:tcW w:w="9039" w:type="dxa"/>
            <w:tcBorders>
              <w:top w:val="dotted" w:sz="4" w:space="0" w:color="auto"/>
              <w:left w:val="dotted" w:sz="4" w:space="0" w:color="auto"/>
              <w:bottom w:val="single" w:sz="4" w:space="0" w:color="2169C1"/>
              <w:right w:val="single" w:sz="4" w:space="0" w:color="FFFFFF"/>
            </w:tcBorders>
            <w:shd w:val="clear" w:color="auto" w:fill="FFFFFF" w:themeFill="background1"/>
          </w:tcPr>
          <w:p w14:paraId="530086AF" w14:textId="5A702E85" w:rsidR="00B86245" w:rsidRPr="00E63E1E" w:rsidRDefault="006A4A36" w:rsidP="00B86245">
            <w:pPr>
              <w:rPr>
                <w:rFonts w:ascii="微软雅黑" w:eastAsia="微软雅黑" w:hAnsi="微软雅黑" w:hint="eastAsia"/>
                <w:lang w:eastAsia="zh"/>
              </w:rPr>
            </w:pPr>
            <w:r w:rsidRPr="006A4A36">
              <w:rPr>
                <w:rFonts w:ascii="微软雅黑" w:eastAsia="微软雅黑" w:hAnsi="微软雅黑"/>
                <w:lang w:eastAsia="zh"/>
              </w:rPr>
              <w:t>过去一周全球地缘事件持续升级，市场风险偏好反复波动，贵金属市场呈现冲高回落走势。伴随美国中期选举逐步接近，特朗普再度展开关税施压，对数十个国家和地区计划加征10%至12.5%的关税，以替代即将到期的全球进口关税。美伊方面，前期达成的谅解备忘录几乎全面瓦解，胡塞武装宣布对沙特实施海上封锁，引发红海能源运输担忧，特朗普周内威胁将对伊朗发动更大规模的军事行动，油价运行中枢大幅上移，9月加息概率由前期低位再度回升至80%以上水平，通胀升温叙事继续对金价构成上行阻力，周末期间美伊暂停互袭，短线提振停火预期。宏观数据⽅⾯，美国7月标普全球制造业PMI初值意外下降至53.8，为3月以来最低水平，市场预期为升至54.3。服务业PMI初值53.6，创8个月新高。美联储方面，沃什多次强调通胀调控仍是核心议题，近期</w:t>
            </w:r>
            <w:r w:rsidRPr="006A4A36">
              <w:rPr>
                <w:rFonts w:ascii="微软雅黑" w:eastAsia="微软雅黑" w:hAnsi="微软雅黑"/>
                <w:lang w:eastAsia="zh"/>
              </w:rPr>
              <w:lastRenderedPageBreak/>
              <w:t>多位联储官员亦释放类似信号，FOMC进入下周FOMC会议前的例行静默期，市场普遍预计美联储将维持联邦基金利率不变，但后续加息预期仍存。往前看，美国就业与通胀数据均弱于市场预期，经历前期较为充分的回调及资⾦去杠杆化，贵⾦属继续⼤幅下探的可能性或相对有限，叠加美股对于市场资金的“虹吸”效应边际减弱，部分多头资金有望回流贵金属市场。当前的核心问题在于，美伊局势仍延续拉锯态势，趋势性上涨仍需更明确的地缘缓和信号。美伊冲突及霍尔⽊兹海峡通⾏争端仍可能反复，若油价持续反弹并重新推升通胀预期，美联储鹰派定价及强势美元仍将限制贵⾦属上⾏空间；⽩银⼯业属性趋于弱化，全球光伏装机量下滑及光伏⽤银需求明显放缓，严重抑制⽩银⼯业需求，银价或跟随⾦价波动为主。操作上建议等待美伊局势缓和信号，轻仓布局多单为主。</w:t>
            </w:r>
          </w:p>
        </w:tc>
      </w:tr>
    </w:tbl>
    <w:p w14:paraId="26030E47" w14:textId="6616445C" w:rsidR="006D4218" w:rsidRPr="006D4218" w:rsidRDefault="006D4218" w:rsidP="006D4218">
      <w:pPr>
        <w:pStyle w:val="a3"/>
        <w:spacing w:line="263" w:lineRule="auto"/>
        <w:rPr>
          <w:rFonts w:eastAsiaTheme="minorEastAsia"/>
          <w:lang w:eastAsia="zh-CN"/>
        </w:rPr>
      </w:pPr>
    </w:p>
    <w:p w14:paraId="5E476E51" w14:textId="77777777" w:rsidR="006D4218" w:rsidRDefault="006D4218" w:rsidP="006D4218">
      <w:pPr>
        <w:pStyle w:val="a3"/>
        <w:spacing w:line="263" w:lineRule="auto"/>
        <w:rPr>
          <w:rFonts w:ascii="微软雅黑" w:eastAsia="微软雅黑" w:hAnsi="微软雅黑" w:cs="微软雅黑" w:hint="eastAsia"/>
          <w:color w:val="036EB8"/>
          <w:sz w:val="28"/>
          <w:szCs w:val="28"/>
          <w:lang w:eastAsia="zh-CN"/>
        </w:rPr>
      </w:pPr>
      <w:r>
        <w:rPr>
          <w:noProof/>
          <w:lang w:eastAsia="zh-CN"/>
        </w:rPr>
        <w:drawing>
          <wp:inline distT="0" distB="0" distL="0" distR="0" wp14:anchorId="07A9981A" wp14:editId="103CC443">
            <wp:extent cx="133350" cy="171450"/>
            <wp:effectExtent l="0" t="0" r="0" b="0"/>
            <wp:docPr id="18" name="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ascii="微软雅黑" w:eastAsia="微软雅黑" w:hAnsi="微软雅黑" w:cs="微软雅黑"/>
          <w:b/>
          <w:bCs/>
          <w:color w:val="036EB8"/>
          <w:spacing w:val="15"/>
          <w:sz w:val="28"/>
          <w:szCs w:val="28"/>
        </w:rPr>
        <w:t xml:space="preserve"> </w:t>
      </w:r>
      <w:r>
        <w:rPr>
          <w:rFonts w:ascii="微软雅黑" w:eastAsia="微软雅黑" w:hAnsi="微软雅黑" w:cs="微软雅黑"/>
          <w:b/>
          <w:bCs/>
          <w:color w:val="036EB8"/>
          <w:spacing w:val="10"/>
          <w:sz w:val="28"/>
          <w:szCs w:val="28"/>
        </w:rPr>
        <w:t>周度</w:t>
      </w:r>
      <w:r>
        <w:rPr>
          <w:rFonts w:ascii="微软雅黑" w:eastAsia="微软雅黑" w:hAnsi="微软雅黑" w:cs="微软雅黑" w:hint="eastAsia"/>
          <w:b/>
          <w:bCs/>
          <w:color w:val="036EB8"/>
          <w:spacing w:val="10"/>
          <w:sz w:val="28"/>
          <w:szCs w:val="28"/>
          <w:lang w:eastAsia="zh-CN"/>
        </w:rPr>
        <w:t>品种图表</w:t>
      </w:r>
    </w:p>
    <w:tbl>
      <w:tblPr>
        <w:tblStyle w:val="TableNormal1"/>
        <w:tblW w:w="9417" w:type="dxa"/>
        <w:tblInd w:w="210" w:type="dxa"/>
        <w:tblBorders>
          <w:top w:val="single" w:sz="2" w:space="0" w:color="036EB8"/>
          <w:left w:val="single" w:sz="2" w:space="0" w:color="036EB8"/>
          <w:bottom w:val="single" w:sz="2" w:space="0" w:color="036EB8"/>
          <w:right w:val="single" w:sz="2" w:space="0" w:color="036EB8"/>
        </w:tblBorders>
        <w:tblLayout w:type="fixed"/>
        <w:tblCellMar>
          <w:left w:w="108" w:type="dxa"/>
          <w:right w:w="108" w:type="dxa"/>
        </w:tblCellMar>
        <w:tblLook w:val="04A0" w:firstRow="1" w:lastRow="0" w:firstColumn="1" w:lastColumn="0" w:noHBand="0" w:noVBand="1"/>
      </w:tblPr>
      <w:tblGrid>
        <w:gridCol w:w="9417"/>
      </w:tblGrid>
      <w:tr w:rsidR="006D4218" w14:paraId="00A34FA2" w14:textId="77777777">
        <w:trPr>
          <w:trHeight w:val="3516"/>
        </w:trPr>
        <w:tc>
          <w:tcPr>
            <w:tcW w:w="9417" w:type="dxa"/>
          </w:tcPr>
          <w:p w14:paraId="75600B6D" w14:textId="0F6FFEBD" w:rsidR="006D4218" w:rsidRDefault="00825919">
            <w:pPr>
              <w:spacing w:line="4053" w:lineRule="exact"/>
              <w:jc w:val="both"/>
              <w:rPr>
                <w:rFonts w:eastAsia="宋体"/>
                <w:lang w:eastAsia="zh-CN"/>
              </w:rPr>
            </w:pPr>
            <w:r>
              <w:rPr>
                <w:rFonts w:eastAsia="宋体"/>
                <w:noProof/>
                <w:lang w:eastAsia="zh-CN"/>
              </w:rPr>
              <w:object w:dxaOrig="7201" w:dyaOrig="4321" w14:anchorId="3FD9532D">
                <v:shape id="_x0000_i1058" type="#_x0000_t75" style="width:231.6pt;height:150.8pt" o:ole="">
                  <v:imagedata r:id="rId15" o:title=""/>
                </v:shape>
                <o:OLEObject Type="Link" ProgID="Excel.Sheet.12" ShapeID="_x0000_i1058" DrawAspect="Content" r:id="rId16"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07392" behindDoc="0" locked="0" layoutInCell="1" allowOverlap="1" wp14:anchorId="0641F544" wp14:editId="2B6AEAA6">
                      <wp:simplePos x="0" y="0"/>
                      <wp:positionH relativeFrom="column">
                        <wp:posOffset>3265805</wp:posOffset>
                      </wp:positionH>
                      <wp:positionV relativeFrom="paragraph">
                        <wp:posOffset>2094230</wp:posOffset>
                      </wp:positionV>
                      <wp:extent cx="2230120" cy="287655"/>
                      <wp:effectExtent l="0" t="0" r="17780" b="17145"/>
                      <wp:wrapNone/>
                      <wp:docPr id="4" name="文本框 4"/>
                      <wp:cNvGraphicFramePr/>
                      <a:graphic xmlns:a="http://schemas.openxmlformats.org/drawingml/2006/main">
                        <a:graphicData uri="http://schemas.microsoft.com/office/word/2010/wordprocessingShape">
                          <wps:wsp>
                            <wps:cNvSpPr txBox="1"/>
                            <wps:spPr>
                              <a:xfrm>
                                <a:off x="0" y="0"/>
                                <a:ext cx="2230120" cy="287655"/>
                              </a:xfrm>
                              <a:prstGeom prst="rect">
                                <a:avLst/>
                              </a:prstGeom>
                              <a:solidFill>
                                <a:sysClr val="window" lastClr="FFFFFF"/>
                              </a:solidFill>
                              <a:ln w="6350">
                                <a:noFill/>
                              </a:ln>
                              <a:effectLst/>
                            </wps:spPr>
                            <wps:txb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641F544" id="_x0000_t202" coordsize="21600,21600" o:spt="202" path="m,l,21600r21600,l21600,xe">
                      <v:stroke joinstyle="miter"/>
                      <v:path gradientshapeok="t" o:connecttype="rect"/>
                    </v:shapetype>
                    <v:shape id="文本框 4" o:spid="_x0000_s1027" type="#_x0000_t202" style="position:absolute;left:0;text-align:left;margin-left:257.15pt;margin-top:164.9pt;width:175.6pt;height:22.6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" fillcolor="window" stroked="f" strokeweight=".5pt">
                      <v:textbo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图2：富时中国</w:t>
                            </w:r>
                            <w:r w:rsidRPr="006314C9">
                              <w:rPr>
                                <w:rFonts w:ascii="微软雅黑" w:eastAsia="微软雅黑" w:hAnsi="微软雅黑" w:cs="微软雅黑"/>
                                <w:spacing w:val="25"/>
                                <w:sz w:val="19"/>
                                <w:szCs w:val="19"/>
                                <w:lang w:eastAsia="zh-CN"/>
                              </w:rPr>
                              <w:t>A50</w:t>
                            </w:r>
                          </w:p>
                        </w:txbxContent>
                      </v:textbox>
                    </v:shape>
                  </w:pict>
                </mc:Fallback>
              </mc:AlternateContent>
            </w:r>
            <w:r w:rsidR="006D4218">
              <w:rPr>
                <w:noProof/>
                <w:lang w:eastAsia="zh-CN"/>
              </w:rPr>
              <mc:AlternateContent>
                <mc:Choice Requires="wps">
                  <w:drawing>
                    <wp:anchor distT="0" distB="0" distL="114300" distR="114300" simplePos="0" relativeHeight="251706368" behindDoc="0" locked="0" layoutInCell="1" allowOverlap="1" wp14:anchorId="3FB8BDF1" wp14:editId="2D5BA603">
                      <wp:simplePos x="0" y="0"/>
                      <wp:positionH relativeFrom="column">
                        <wp:posOffset>231140</wp:posOffset>
                      </wp:positionH>
                      <wp:positionV relativeFrom="paragraph">
                        <wp:posOffset>2114550</wp:posOffset>
                      </wp:positionV>
                      <wp:extent cx="2564130" cy="287655"/>
                      <wp:effectExtent l="5080" t="4445" r="21590" b="12700"/>
                      <wp:wrapNone/>
                      <wp:docPr id="5" name="文本框 5"/>
                      <wp:cNvGraphicFramePr/>
                      <a:graphic xmlns:a="http://schemas.openxmlformats.org/drawingml/2006/main">
                        <a:graphicData uri="http://schemas.microsoft.com/office/word/2010/wordprocessingShape">
                          <wps:wsp>
                            <wps:cNvSpPr txBox="1"/>
                            <wps:spPr>
                              <a:xfrm>
                                <a:off x="0" y="0"/>
                                <a:ext cx="2564130" cy="287655"/>
                              </a:xfrm>
                              <a:prstGeom prst="rect">
                                <a:avLst/>
                              </a:prstGeom>
                              <a:solidFill>
                                <a:sysClr val="window" lastClr="FFFFFF"/>
                              </a:solidFill>
                              <a:ln w="6350">
                                <a:solidFill>
                                  <a:sysClr val="window" lastClr="FFFFFF"/>
                                </a:solidFill>
                              </a:ln>
                              <a:effectLst/>
                            </wps:spPr>
                            <wps:txb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B8BDF1" id="文本框 5" o:spid="_x0000_s1028" type="#_x0000_t202" style="position:absolute;left:0;text-align:left;margin-left:18.2pt;margin-top:166.5pt;width:201.9pt;height:22.6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" fillcolor="window" strokecolor="window" strokeweight=".5pt">
                      <v:textbo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v:textbox>
                    </v:shape>
                  </w:pict>
                </mc:Fallback>
              </mc:AlternateContent>
            </w:r>
            <w:r>
              <w:rPr>
                <w:rFonts w:eastAsia="宋体"/>
                <w:noProof/>
                <w:lang w:eastAsia="zh-CN"/>
              </w:rPr>
              <w:object w:dxaOrig="7111" w:dyaOrig="4321" w14:anchorId="31106B53">
                <v:shape id="_x0000_i1056" type="#_x0000_t75" style="width:224.85pt;height:150.1pt" o:ole="">
                  <v:imagedata r:id="rId17" o:title=""/>
                </v:shape>
                <o:OLEObject Type="Link" ProgID="Excel.Sheet.12" ShapeID="_x0000_i1056" DrawAspect="Content" r:id="rId18" UpdateMode="Always">
                  <o:LinkType>EnhancedMetaFile</o:LinkType>
                  <o:LockedField>false</o:LockedField>
                </o:OLEObject>
              </w:object>
            </w:r>
          </w:p>
        </w:tc>
      </w:tr>
      <w:tr w:rsidR="006D4218" w14:paraId="78ABB01D" w14:textId="77777777" w:rsidTr="009B3C7E">
        <w:trPr>
          <w:trHeight w:val="4063"/>
        </w:trPr>
        <w:tc>
          <w:tcPr>
            <w:tcW w:w="9417" w:type="dxa"/>
          </w:tcPr>
          <w:p w14:paraId="1432B739" w14:textId="7EA795BB" w:rsidR="006D4218" w:rsidRDefault="00825919">
            <w:pPr>
              <w:spacing w:line="4053" w:lineRule="exact"/>
              <w:jc w:val="both"/>
              <w:rPr>
                <w:rFonts w:eastAsia="宋体"/>
                <w:lang w:eastAsia="zh-CN"/>
              </w:rPr>
            </w:pPr>
            <w:r>
              <w:rPr>
                <w:noProof/>
                <w:snapToGrid/>
                <w:lang w:eastAsia="zh-CN"/>
              </w:rPr>
              <w:object w:dxaOrig="6916" w:dyaOrig="4321" w14:anchorId="185A71EB">
                <v:shape id="_x0000_i1054" type="#_x0000_t75" style="width:224.85pt;height:155.55pt" o:ole="">
                  <v:imagedata r:id="rId19" o:title=""/>
                </v:shape>
                <o:OLEObject Type="Link" ProgID="Excel.Sheet.12" ShapeID="_x0000_i1054" DrawAspect="Content" r:id="rId20" UpdateMode="Always">
                  <o:LinkType>EnhancedMetaFile</o:LinkType>
                  <o:LockedField>false</o:LockedField>
                </o:OLEObject>
              </w:object>
            </w:r>
            <w:r w:rsidR="009B3C7E">
              <w:rPr>
                <w:noProof/>
                <w:snapToGrid/>
                <w:lang w:eastAsia="zh-CN"/>
              </w:rPr>
              <w:t xml:space="preserve"> </w:t>
            </w:r>
            <w:r>
              <w:rPr>
                <w:noProof/>
                <w:snapToGrid/>
                <w:lang w:eastAsia="zh-CN"/>
              </w:rPr>
              <w:object w:dxaOrig="7126" w:dyaOrig="4321" w14:anchorId="02735971">
                <v:shape id="_x0000_i1052" type="#_x0000_t75" style="width:229.6pt;height:155.55pt" o:ole="">
                  <v:imagedata r:id="rId21" o:title=""/>
                </v:shape>
                <o:OLEObject Type="Link" ProgID="Excel.Sheet.12" ShapeID="_x0000_i1052" DrawAspect="Content" r:id="rId22"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5584" behindDoc="0" locked="0" layoutInCell="1" allowOverlap="1" wp14:anchorId="2FFC844D" wp14:editId="056C5531">
                      <wp:simplePos x="0" y="0"/>
                      <wp:positionH relativeFrom="column">
                        <wp:posOffset>3030220</wp:posOffset>
                      </wp:positionH>
                      <wp:positionV relativeFrom="paragraph">
                        <wp:posOffset>2094865</wp:posOffset>
                      </wp:positionV>
                      <wp:extent cx="2580640" cy="302895"/>
                      <wp:effectExtent l="0" t="0" r="10160" b="1905"/>
                      <wp:wrapNone/>
                      <wp:docPr id="10" name="文本框 10"/>
                      <wp:cNvGraphicFramePr/>
                      <a:graphic xmlns:a="http://schemas.openxmlformats.org/drawingml/2006/main">
                        <a:graphicData uri="http://schemas.microsoft.com/office/word/2010/wordprocessingShape">
                          <wps:wsp>
                            <wps:cNvSpPr txBox="1"/>
                            <wps:spPr>
                              <a:xfrm>
                                <a:off x="0" y="0"/>
                                <a:ext cx="2580640" cy="302895"/>
                              </a:xfrm>
                              <a:prstGeom prst="rect">
                                <a:avLst/>
                              </a:prstGeom>
                              <a:solidFill>
                                <a:sysClr val="window" lastClr="FFFFFF"/>
                              </a:solidFill>
                              <a:ln w="6350">
                                <a:noFill/>
                              </a:ln>
                              <a:effectLst/>
                            </wps:spPr>
                            <wps:txb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FC844D" id="文本框 10" o:spid="_x0000_s1029" type="#_x0000_t202" style="position:absolute;left:0;text-align:left;margin-left:238.6pt;margin-top:164.95pt;width:203.2pt;height:23.8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" fillcolor="window" stroked="f" strokeweight=".5pt">
                      <v:textbo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v:textbox>
                    </v:shape>
                  </w:pict>
                </mc:Fallback>
              </mc:AlternateContent>
            </w:r>
            <w:r w:rsidR="006D4218">
              <w:rPr>
                <w:noProof/>
                <w:lang w:eastAsia="zh-CN"/>
              </w:rPr>
              <mc:AlternateContent>
                <mc:Choice Requires="wps">
                  <w:drawing>
                    <wp:anchor distT="0" distB="0" distL="114300" distR="114300" simplePos="0" relativeHeight="251708416" behindDoc="0" locked="0" layoutInCell="1" allowOverlap="1" wp14:anchorId="280CFCC3" wp14:editId="15499504">
                      <wp:simplePos x="0" y="0"/>
                      <wp:positionH relativeFrom="column">
                        <wp:posOffset>332740</wp:posOffset>
                      </wp:positionH>
                      <wp:positionV relativeFrom="paragraph">
                        <wp:posOffset>2105660</wp:posOffset>
                      </wp:positionV>
                      <wp:extent cx="2048510" cy="287655"/>
                      <wp:effectExtent l="0" t="0" r="8890" b="17145"/>
                      <wp:wrapNone/>
                      <wp:docPr id="11" name="文本框 11"/>
                      <wp:cNvGraphicFramePr/>
                      <a:graphic xmlns:a="http://schemas.openxmlformats.org/drawingml/2006/main">
                        <a:graphicData uri="http://schemas.microsoft.com/office/word/2010/wordprocessingShape">
                          <wps:wsp>
                            <wps:cNvSpPr txBox="1"/>
                            <wps:spPr>
                              <a:xfrm>
                                <a:off x="0" y="0"/>
                                <a:ext cx="2048510" cy="287655"/>
                              </a:xfrm>
                              <a:prstGeom prst="rect">
                                <a:avLst/>
                              </a:prstGeom>
                              <a:solidFill>
                                <a:sysClr val="window" lastClr="FFFFFF"/>
                              </a:solidFill>
                              <a:ln w="6350">
                                <a:noFill/>
                              </a:ln>
                              <a:effectLst/>
                            </wps:spPr>
                            <wps:txb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0CFCC3" id="文本框 11" o:spid="_x0000_s1030" type="#_x0000_t202" style="position:absolute;left:0;text-align:left;margin-left:26.2pt;margin-top:165.8pt;width:161.3pt;height:22.6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" fillcolor="window" stroked="f" strokeweight=".5pt">
                      <v:textbo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v:textbox>
                    </v:shape>
                  </w:pict>
                </mc:Fallback>
              </mc:AlternateContent>
            </w:r>
          </w:p>
        </w:tc>
      </w:tr>
      <w:tr w:rsidR="006D4218" w14:paraId="53E2D544" w14:textId="77777777" w:rsidTr="00AE57A3">
        <w:trPr>
          <w:trHeight w:val="4063"/>
        </w:trPr>
        <w:tc>
          <w:tcPr>
            <w:tcW w:w="9417" w:type="dxa"/>
          </w:tcPr>
          <w:p w14:paraId="6D904CE5" w14:textId="347A638C" w:rsidR="006D4218" w:rsidRDefault="00825919">
            <w:pPr>
              <w:spacing w:line="4053" w:lineRule="exact"/>
              <w:rPr>
                <w:rFonts w:eastAsia="宋体"/>
                <w:lang w:eastAsia="zh-CN"/>
              </w:rPr>
            </w:pPr>
            <w:r>
              <w:rPr>
                <w:noProof/>
                <w:snapToGrid/>
              </w:rPr>
              <w:object w:dxaOrig="7126" w:dyaOrig="4321" w14:anchorId="0FCA993C">
                <v:shape id="_x0000_i1050" type="#_x0000_t75" style="width:230.25pt;height:146.7pt" o:ole="">
                  <v:imagedata r:id="rId23" o:title=""/>
                </v:shape>
                <o:OLEObject Type="Link" ProgID="Excel.Sheet.12" ShapeID="_x0000_i1050" DrawAspect="Content" r:id="rId24"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0464" behindDoc="0" locked="0" layoutInCell="1" allowOverlap="1" wp14:anchorId="42E67B91" wp14:editId="6E093B79">
                      <wp:simplePos x="0" y="0"/>
                      <wp:positionH relativeFrom="column">
                        <wp:posOffset>3108960</wp:posOffset>
                      </wp:positionH>
                      <wp:positionV relativeFrom="paragraph">
                        <wp:posOffset>2113280</wp:posOffset>
                      </wp:positionV>
                      <wp:extent cx="3171825" cy="42418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3171825" cy="424180"/>
                              </a:xfrm>
                              <a:prstGeom prst="rect">
                                <a:avLst/>
                              </a:prstGeom>
                              <a:noFill/>
                              <a:ln w="6350">
                                <a:noFill/>
                              </a:ln>
                              <a:effectLst/>
                            </wps:spPr>
                            <wps:txb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42E67B91" id="文本框 12" o:spid="_x0000_s1031" type="#_x0000_t202" style="position:absolute;margin-left:244.8pt;margin-top:166.4pt;width:249.75pt;height:33.4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" filled="f" stroked="f" strokeweight=".5pt">
                      <v:textbo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v:textbox>
                    </v:shape>
                  </w:pict>
                </mc:Fallback>
              </mc:AlternateContent>
            </w:r>
            <w:r w:rsidR="006D4218">
              <w:rPr>
                <w:noProof/>
                <w:lang w:eastAsia="zh-CN"/>
              </w:rPr>
              <mc:AlternateContent>
                <mc:Choice Requires="wps">
                  <w:drawing>
                    <wp:anchor distT="0" distB="0" distL="114300" distR="114300" simplePos="0" relativeHeight="251709440" behindDoc="0" locked="0" layoutInCell="1" allowOverlap="1" wp14:anchorId="0C8ADAD8" wp14:editId="45FA5627">
                      <wp:simplePos x="0" y="0"/>
                      <wp:positionH relativeFrom="column">
                        <wp:posOffset>174625</wp:posOffset>
                      </wp:positionH>
                      <wp:positionV relativeFrom="paragraph">
                        <wp:posOffset>2188210</wp:posOffset>
                      </wp:positionV>
                      <wp:extent cx="2580005" cy="300990"/>
                      <wp:effectExtent l="0" t="0" r="10795" b="3810"/>
                      <wp:wrapNone/>
                      <wp:docPr id="13" name="文本框 13"/>
                      <wp:cNvGraphicFramePr/>
                      <a:graphic xmlns:a="http://schemas.openxmlformats.org/drawingml/2006/main">
                        <a:graphicData uri="http://schemas.microsoft.com/office/word/2010/wordprocessingShape">
                          <wps:wsp>
                            <wps:cNvSpPr txBox="1"/>
                            <wps:spPr>
                              <a:xfrm>
                                <a:off x="993140" y="3328670"/>
                                <a:ext cx="2580005" cy="300990"/>
                              </a:xfrm>
                              <a:prstGeom prst="rect">
                                <a:avLst/>
                              </a:prstGeom>
                              <a:solidFill>
                                <a:sysClr val="window" lastClr="FFFFFF"/>
                              </a:solidFill>
                              <a:ln w="6350">
                                <a:noFill/>
                              </a:ln>
                              <a:effectLst/>
                            </wps:spPr>
                            <wps:txb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C8ADAD8" id="文本框 13" o:spid="_x0000_s1032" type="#_x0000_t202" style="position:absolute;margin-left:13.75pt;margin-top:172.3pt;width:203.15pt;height:23.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" fillcolor="window" stroked="f" strokeweight=".5pt">
                      <v:textbo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v:textbox>
                    </v:shape>
                  </w:pict>
                </mc:Fallback>
              </mc:AlternateContent>
            </w:r>
            <w:r>
              <w:rPr>
                <w:rFonts w:eastAsia="宋体"/>
                <w:noProof/>
                <w:lang w:eastAsia="zh-CN"/>
              </w:rPr>
              <w:object w:dxaOrig="7111" w:dyaOrig="4321" w14:anchorId="6954D2E9">
                <v:shape id="_x0000_i1048" type="#_x0000_t75" style="width:226.85pt;height:146.7pt" o:ole="">
                  <v:imagedata r:id="rId25" o:title=""/>
                </v:shape>
                <o:OLEObject Type="Link" ProgID="Excel.Sheet.12" ShapeID="_x0000_i1048" DrawAspect="Content" r:id="rId26" UpdateMode="Always">
                  <o:LinkType>EnhancedMetaFile</o:LinkType>
                  <o:LockedField>false</o:LockedField>
                </o:OLEObject>
              </w:object>
            </w:r>
          </w:p>
        </w:tc>
      </w:tr>
      <w:tr w:rsidR="006D4218" w14:paraId="1F113141" w14:textId="77777777">
        <w:trPr>
          <w:trHeight w:val="4063"/>
        </w:trPr>
        <w:tc>
          <w:tcPr>
            <w:tcW w:w="9417" w:type="dxa"/>
          </w:tcPr>
          <w:p w14:paraId="401C7715" w14:textId="215DD1FF" w:rsidR="006D4218" w:rsidRDefault="00825919">
            <w:pPr>
              <w:spacing w:line="4053" w:lineRule="exact"/>
              <w:jc w:val="both"/>
              <w:rPr>
                <w:rFonts w:eastAsia="宋体"/>
                <w:lang w:eastAsia="zh-CN"/>
              </w:rPr>
            </w:pPr>
            <w:r>
              <w:rPr>
                <w:noProof/>
                <w:snapToGrid/>
                <w:lang w:eastAsia="zh-CN"/>
              </w:rPr>
              <w:object w:dxaOrig="6916" w:dyaOrig="4321" w14:anchorId="77B2E435">
                <v:shape id="_x0000_i1044" type="#_x0000_t75" style="width:228.25pt;height:154.2pt" o:ole="">
                  <v:imagedata r:id="rId27" o:title=""/>
                </v:shape>
                <o:OLEObject Type="Link" ProgID="Excel.Sheet.12" ShapeID="_x0000_i1044" DrawAspect="Content" r:id="rId28"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1488" behindDoc="0" locked="0" layoutInCell="1" allowOverlap="1" wp14:anchorId="2FC7ED29" wp14:editId="23E21351">
                      <wp:simplePos x="0" y="0"/>
                      <wp:positionH relativeFrom="column">
                        <wp:posOffset>175259</wp:posOffset>
                      </wp:positionH>
                      <wp:positionV relativeFrom="paragraph">
                        <wp:posOffset>2146300</wp:posOffset>
                      </wp:positionV>
                      <wp:extent cx="2847975" cy="309245"/>
                      <wp:effectExtent l="0" t="0" r="9525" b="0"/>
                      <wp:wrapNone/>
                      <wp:docPr id="14" name="文本框 14"/>
                      <wp:cNvGraphicFramePr/>
                      <a:graphic xmlns:a="http://schemas.openxmlformats.org/drawingml/2006/main">
                        <a:graphicData uri="http://schemas.microsoft.com/office/word/2010/wordprocessingShape">
                          <wps:wsp>
                            <wps:cNvSpPr txBox="1"/>
                            <wps:spPr>
                              <a:xfrm>
                                <a:off x="0" y="0"/>
                                <a:ext cx="2847975" cy="309245"/>
                              </a:xfrm>
                              <a:prstGeom prst="rect">
                                <a:avLst/>
                              </a:prstGeom>
                              <a:solidFill>
                                <a:sysClr val="window" lastClr="FFFFFF"/>
                              </a:solidFill>
                              <a:ln w="6350">
                                <a:noFill/>
                              </a:ln>
                              <a:effectLst/>
                            </wps:spPr>
                            <wps:txb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2FC7ED29" id="文本框 14" o:spid="_x0000_s1033" type="#_x0000_t202" style="position:absolute;left:0;text-align:left;margin-left:13.8pt;margin-top:169pt;width:224.25pt;height:24.3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" fillcolor="window" stroked="f" strokeweight=".5pt">
                      <v:textbo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v:textbox>
                    </v:shape>
                  </w:pict>
                </mc:Fallback>
              </mc:AlternateContent>
            </w:r>
            <w:r w:rsidR="006D4218">
              <w:rPr>
                <w:noProof/>
                <w:lang w:eastAsia="zh-CN"/>
              </w:rPr>
              <mc:AlternateContent>
                <mc:Choice Requires="wps">
                  <w:drawing>
                    <wp:anchor distT="0" distB="0" distL="114300" distR="114300" simplePos="0" relativeHeight="251712512" behindDoc="0" locked="0" layoutInCell="1" allowOverlap="1" wp14:anchorId="330BC09A" wp14:editId="64E893EF">
                      <wp:simplePos x="0" y="0"/>
                      <wp:positionH relativeFrom="column">
                        <wp:posOffset>2973705</wp:posOffset>
                      </wp:positionH>
                      <wp:positionV relativeFrom="paragraph">
                        <wp:posOffset>2132965</wp:posOffset>
                      </wp:positionV>
                      <wp:extent cx="2641600" cy="309245"/>
                      <wp:effectExtent l="0" t="0" r="6350" b="14605"/>
                      <wp:wrapNone/>
                      <wp:docPr id="15" name="文本框 15"/>
                      <wp:cNvGraphicFramePr/>
                      <a:graphic xmlns:a="http://schemas.openxmlformats.org/drawingml/2006/main">
                        <a:graphicData uri="http://schemas.microsoft.com/office/word/2010/wordprocessingShape">
                          <wps:wsp>
                            <wps:cNvSpPr txBox="1"/>
                            <wps:spPr>
                              <a:xfrm>
                                <a:off x="0" y="0"/>
                                <a:ext cx="2641600" cy="309245"/>
                              </a:xfrm>
                              <a:prstGeom prst="rect">
                                <a:avLst/>
                              </a:prstGeom>
                              <a:solidFill>
                                <a:sysClr val="window" lastClr="FFFFFF"/>
                              </a:solidFill>
                              <a:ln w="6350">
                                <a:noFill/>
                              </a:ln>
                              <a:effectLst/>
                            </wps:spPr>
                            <wps:txb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0BC09A" id="文本框 15" o:spid="_x0000_s1034" type="#_x0000_t202" style="position:absolute;left:0;text-align:left;margin-left:234.15pt;margin-top:167.95pt;width:208pt;height:24.3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" fillcolor="window" stroked="f" strokeweight=".5pt">
                      <v:textbo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v:textbox>
                    </v:shape>
                  </w:pict>
                </mc:Fallback>
              </mc:AlternateContent>
            </w:r>
            <w:r>
              <w:rPr>
                <w:noProof/>
                <w:snapToGrid/>
                <w:lang w:eastAsia="zh-CN"/>
              </w:rPr>
              <w:object w:dxaOrig="7171" w:dyaOrig="4321" w14:anchorId="2D13B480">
                <v:shape id="_x0000_i1046" type="#_x0000_t75" style="width:224.85pt;height:154.2pt" o:ole="">
                  <v:imagedata r:id="rId29" o:title=""/>
                </v:shape>
                <o:OLEObject Type="Link" ProgID="Excel.Sheet.12" ShapeID="_x0000_i1046" DrawAspect="Content" r:id="rId30" UpdateMode="Always">
                  <o:LinkType>EnhancedMetaFile</o:LinkType>
                  <o:LockedField>false</o:LockedField>
                </o:OLEObject>
              </w:object>
            </w:r>
          </w:p>
        </w:tc>
      </w:tr>
      <w:tr w:rsidR="006D4218" w14:paraId="6E392C8A" w14:textId="77777777">
        <w:trPr>
          <w:trHeight w:val="4063"/>
        </w:trPr>
        <w:tc>
          <w:tcPr>
            <w:tcW w:w="9417" w:type="dxa"/>
          </w:tcPr>
          <w:p w14:paraId="719B4F2C" w14:textId="381EC675" w:rsidR="006D4218" w:rsidRDefault="00825919">
            <w:pPr>
              <w:spacing w:line="4053" w:lineRule="exact"/>
              <w:jc w:val="both"/>
              <w:rPr>
                <w:rFonts w:eastAsia="宋体"/>
                <w:sz w:val="20"/>
                <w:lang w:eastAsia="zh-CN"/>
              </w:rPr>
            </w:pPr>
            <w:r>
              <w:rPr>
                <w:rFonts w:eastAsia="宋体"/>
                <w:noProof/>
                <w:sz w:val="20"/>
                <w:lang w:eastAsia="zh-CN"/>
              </w:rPr>
              <w:object w:dxaOrig="6720" w:dyaOrig="4321" w14:anchorId="0AAA68B6">
                <v:shape id="_x0000_i1042" type="#_x0000_t75" style="width:230.25pt;height:148.75pt" o:ole="">
                  <v:imagedata r:id="rId31" o:title=""/>
                </v:shape>
                <o:OLEObject Type="Link" ProgID="Excel.Sheet.12" ShapeID="_x0000_i1042" DrawAspect="Content" r:id="rId32" UpdateMode="Always">
                  <o:LinkType>EnhancedMetaFile</o:LinkType>
                  <o:LockedField>false</o:LockedField>
                </o:OLEObject>
              </w:object>
            </w:r>
            <w:r w:rsidR="006D4218">
              <w:rPr>
                <w:noProof/>
                <w:sz w:val="20"/>
                <w:lang w:eastAsia="zh-CN"/>
              </w:rPr>
              <mc:AlternateContent>
                <mc:Choice Requires="wps">
                  <w:drawing>
                    <wp:anchor distT="0" distB="0" distL="114300" distR="114300" simplePos="0" relativeHeight="251713536" behindDoc="0" locked="0" layoutInCell="1" allowOverlap="1" wp14:anchorId="4980164F" wp14:editId="51E4B069">
                      <wp:simplePos x="0" y="0"/>
                      <wp:positionH relativeFrom="column">
                        <wp:posOffset>254635</wp:posOffset>
                      </wp:positionH>
                      <wp:positionV relativeFrom="paragraph">
                        <wp:posOffset>2169795</wp:posOffset>
                      </wp:positionV>
                      <wp:extent cx="2190750" cy="318770"/>
                      <wp:effectExtent l="0" t="0" r="0" b="5080"/>
                      <wp:wrapNone/>
                      <wp:docPr id="16" name="文本框 16"/>
                      <wp:cNvGraphicFramePr/>
                      <a:graphic xmlns:a="http://schemas.openxmlformats.org/drawingml/2006/main">
                        <a:graphicData uri="http://schemas.microsoft.com/office/word/2010/wordprocessingShape">
                          <wps:wsp>
                            <wps:cNvSpPr txBox="1"/>
                            <wps:spPr>
                              <a:xfrm>
                                <a:off x="0" y="0"/>
                                <a:ext cx="2190750" cy="318770"/>
                              </a:xfrm>
                              <a:prstGeom prst="rect">
                                <a:avLst/>
                              </a:prstGeom>
                              <a:solidFill>
                                <a:sysClr val="window" lastClr="FFFFFF"/>
                              </a:solidFill>
                              <a:ln w="6350">
                                <a:noFill/>
                              </a:ln>
                              <a:effectLst/>
                            </wps:spPr>
                            <wps:txb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80164F" id="文本框 16" o:spid="_x0000_s1035" type="#_x0000_t202" style="position:absolute;left:0;text-align:left;margin-left:20.05pt;margin-top:170.85pt;width:172.5pt;height:25.1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" fillcolor="window" stroked="f" strokeweight=".5pt">
                      <v:textbo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v:textbox>
                    </v:shape>
                  </w:pict>
                </mc:Fallback>
              </mc:AlternateContent>
            </w:r>
            <w:r w:rsidR="006D4218">
              <w:rPr>
                <w:noProof/>
                <w:sz w:val="20"/>
                <w:lang w:eastAsia="zh-CN"/>
              </w:rPr>
              <mc:AlternateContent>
                <mc:Choice Requires="wps">
                  <w:drawing>
                    <wp:anchor distT="0" distB="0" distL="114300" distR="114300" simplePos="0" relativeHeight="251714560" behindDoc="0" locked="0" layoutInCell="1" allowOverlap="1" wp14:anchorId="4D509292" wp14:editId="2713D07E">
                      <wp:simplePos x="0" y="0"/>
                      <wp:positionH relativeFrom="column">
                        <wp:posOffset>3178810</wp:posOffset>
                      </wp:positionH>
                      <wp:positionV relativeFrom="paragraph">
                        <wp:posOffset>2169795</wp:posOffset>
                      </wp:positionV>
                      <wp:extent cx="2485390" cy="318770"/>
                      <wp:effectExtent l="0" t="0" r="10160" b="5080"/>
                      <wp:wrapNone/>
                      <wp:docPr id="17" name="文本框 17"/>
                      <wp:cNvGraphicFramePr/>
                      <a:graphic xmlns:a="http://schemas.openxmlformats.org/drawingml/2006/main">
                        <a:graphicData uri="http://schemas.microsoft.com/office/word/2010/wordprocessingShape">
                          <wps:wsp>
                            <wps:cNvSpPr txBox="1"/>
                            <wps:spPr>
                              <a:xfrm>
                                <a:off x="0" y="0"/>
                                <a:ext cx="2485390" cy="318770"/>
                              </a:xfrm>
                              <a:prstGeom prst="rect">
                                <a:avLst/>
                              </a:prstGeom>
                              <a:solidFill>
                                <a:sysClr val="window" lastClr="FFFFFF"/>
                              </a:solidFill>
                              <a:ln w="6350">
                                <a:noFill/>
                              </a:ln>
                              <a:effectLst/>
                            </wps:spPr>
                            <wps:txb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509292" id="文本框 17" o:spid="_x0000_s1036" type="#_x0000_t202" style="position:absolute;left:0;text-align:left;margin-left:250.3pt;margin-top:170.85pt;width:195.7pt;height:25.1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" fillcolor="window" stroked="f" strokeweight=".5pt">
                      <v:textbo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v:textbox>
                    </v:shape>
                  </w:pict>
                </mc:Fallback>
              </mc:AlternateContent>
            </w:r>
            <w:r>
              <w:rPr>
                <w:rFonts w:eastAsia="宋体"/>
                <w:noProof/>
                <w:sz w:val="20"/>
                <w:lang w:eastAsia="zh-CN"/>
              </w:rPr>
              <w:object w:dxaOrig="7096" w:dyaOrig="4321" w14:anchorId="0F033819">
                <v:shape id="_x0000_i1040" type="#_x0000_t75" style="width:226.85pt;height:148.75pt" o:ole="">
                  <v:imagedata r:id="rId33" o:title=""/>
                </v:shape>
                <o:OLEObject Type="Link" ProgID="Excel.Sheet.12" ShapeID="_x0000_i1040" DrawAspect="Content" r:id="rId34" UpdateMode="Always">
                  <o:LinkType>EnhancedMetaFile</o:LinkType>
                  <o:LockedField>false</o:LockedField>
                </o:OLEObject>
              </w:object>
            </w:r>
          </w:p>
        </w:tc>
      </w:tr>
    </w:tbl>
    <w:p w14:paraId="226E9728" w14:textId="77777777" w:rsidR="006D4218" w:rsidRPr="00EF10F6" w:rsidRDefault="006D4218" w:rsidP="006D4218">
      <w:pPr>
        <w:spacing w:before="235" w:line="176" w:lineRule="auto"/>
        <w:ind w:firstLineChars="100" w:firstLine="194"/>
        <w:rPr>
          <w:rFonts w:ascii="微软雅黑" w:eastAsia="微软雅黑" w:hAnsi="微软雅黑" w:cs="微软雅黑" w:hint="eastAsia"/>
          <w:spacing w:val="7"/>
          <w:sz w:val="18"/>
          <w:szCs w:val="18"/>
          <w:lang w:eastAsia="zh-CN"/>
        </w:rPr>
      </w:pPr>
      <w:r>
        <w:rPr>
          <w:rFonts w:ascii="微软雅黑" w:eastAsia="微软雅黑" w:hAnsi="微软雅黑" w:cs="微软雅黑" w:hint="eastAsia"/>
          <w:spacing w:val="7"/>
          <w:sz w:val="18"/>
          <w:szCs w:val="18"/>
          <w:lang w:eastAsia="zh-CN"/>
        </w:rPr>
        <w:t>资料源：公开资料整理，</w:t>
      </w:r>
      <w:r w:rsidRPr="00566217">
        <w:rPr>
          <w:rFonts w:ascii="微软雅黑" w:eastAsia="微软雅黑" w:hAnsi="微软雅黑" w:cs="微软雅黑" w:hint="eastAsia"/>
          <w:spacing w:val="7"/>
          <w:sz w:val="18"/>
          <w:szCs w:val="18"/>
          <w:lang w:eastAsia="zh-CN"/>
        </w:rPr>
        <w:t>瑞达国际</w:t>
      </w:r>
    </w:p>
    <w:p w14:paraId="7127E30D" w14:textId="77777777" w:rsidR="008E3E9D" w:rsidRPr="006D4218" w:rsidRDefault="008E3E9D">
      <w:pPr>
        <w:spacing w:before="120" w:line="190" w:lineRule="auto"/>
        <w:rPr>
          <w:rFonts w:ascii="微软雅黑" w:eastAsia="微软雅黑" w:hAnsi="微软雅黑" w:cs="微软雅黑" w:hint="eastAsia"/>
          <w:b/>
          <w:bCs/>
          <w:color w:val="036EB8"/>
          <w:spacing w:val="19"/>
          <w:sz w:val="28"/>
          <w:szCs w:val="28"/>
          <w:lang w:eastAsia="zh-CN"/>
        </w:rPr>
      </w:pPr>
    </w:p>
    <w:p w14:paraId="07D332D6" w14:textId="0CAD0A8E" w:rsidR="00993B64" w:rsidRDefault="00835A2B" w:rsidP="00E43252">
      <w:pPr>
        <w:spacing w:before="120" w:line="190" w:lineRule="auto"/>
        <w:rPr>
          <w:rFonts w:ascii="微软雅黑" w:eastAsia="微软雅黑" w:hAnsi="微软雅黑" w:cs="微软雅黑" w:hint="eastAsia"/>
          <w:b/>
          <w:bCs/>
          <w:color w:val="036EB8"/>
          <w:spacing w:val="10"/>
          <w:sz w:val="28"/>
          <w:szCs w:val="28"/>
          <w:lang w:eastAsia="zh-CN"/>
        </w:rPr>
      </w:pPr>
      <w:r>
        <w:rPr>
          <w:noProof/>
          <w:snapToGrid/>
        </w:rPr>
        <w:pict w14:anchorId="2D19AEEB">
          <v:shape id="IM 50" o:spid="_x0000_i1037" type="#_x0000_t75" style="width:11.55pt;height:12.25pt;visibility:visible" o:bullet="t">
            <v:imagedata r:id="rId35" o:title=""/>
          </v:shape>
        </w:pict>
      </w:r>
      <w:r w:rsidR="00E42547">
        <w:rPr>
          <w:rFonts w:ascii="微软雅黑" w:eastAsia="微软雅黑" w:hAnsi="微软雅黑" w:cs="微软雅黑"/>
          <w:b/>
          <w:bCs/>
          <w:color w:val="036EB8"/>
          <w:spacing w:val="19"/>
          <w:sz w:val="28"/>
          <w:szCs w:val="28"/>
        </w:rPr>
        <w:t xml:space="preserve"> </w:t>
      </w:r>
      <w:r w:rsidR="002465B6">
        <w:rPr>
          <w:rFonts w:ascii="微软雅黑" w:eastAsia="微软雅黑" w:hAnsi="微软雅黑" w:cs="微软雅黑" w:hint="eastAsia"/>
          <w:b/>
          <w:bCs/>
          <w:color w:val="036EB8"/>
          <w:spacing w:val="10"/>
          <w:sz w:val="28"/>
          <w:szCs w:val="28"/>
          <w:lang w:eastAsia="zh-CN"/>
        </w:rPr>
        <w:t>本</w:t>
      </w:r>
      <w:r w:rsidR="00E42547">
        <w:rPr>
          <w:rFonts w:ascii="微软雅黑" w:eastAsia="微软雅黑" w:hAnsi="微软雅黑" w:cs="微软雅黑" w:hint="eastAsia"/>
          <w:b/>
          <w:bCs/>
          <w:color w:val="036EB8"/>
          <w:spacing w:val="10"/>
          <w:sz w:val="28"/>
          <w:szCs w:val="28"/>
          <w:lang w:eastAsia="zh-CN"/>
        </w:rPr>
        <w:t>周热点日程</w:t>
      </w:r>
    </w:p>
    <w:p w14:paraId="657AABBF" w14:textId="77777777" w:rsidR="00E43252" w:rsidRPr="00E43252" w:rsidRDefault="00E43252" w:rsidP="00E43252">
      <w:pPr>
        <w:spacing w:before="120" w:line="190" w:lineRule="auto"/>
        <w:rPr>
          <w:rFonts w:ascii="微软雅黑" w:eastAsia="微软雅黑" w:hAnsi="微软雅黑" w:cs="微软雅黑" w:hint="eastAsia"/>
          <w:b/>
          <w:bCs/>
          <w:color w:val="036EB8"/>
          <w:spacing w:val="10"/>
          <w:sz w:val="28"/>
          <w:szCs w:val="28"/>
          <w:lang w:eastAsia="zh-CN"/>
        </w:rPr>
      </w:pPr>
    </w:p>
    <w:tbl>
      <w:tblPr>
        <w:tblStyle w:val="TableNormal1"/>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731"/>
        <w:gridCol w:w="1314"/>
        <w:gridCol w:w="6344"/>
      </w:tblGrid>
      <w:tr w:rsidR="00993B64" w14:paraId="0817D17F" w14:textId="77777777">
        <w:trPr>
          <w:trHeight w:val="620"/>
        </w:trPr>
        <w:tc>
          <w:tcPr>
            <w:tcW w:w="3045" w:type="dxa"/>
            <w:gridSpan w:val="2"/>
            <w:shd w:val="clear" w:color="auto" w:fill="3D85C1"/>
          </w:tcPr>
          <w:p w14:paraId="4C51E062" w14:textId="77777777" w:rsidR="00993B64" w:rsidRDefault="00E42547">
            <w:pPr>
              <w:pStyle w:val="TableText"/>
              <w:spacing w:before="221" w:line="182" w:lineRule="auto"/>
              <w:ind w:left="1142"/>
              <w:rPr>
                <w:rFonts w:hint="eastAsia"/>
                <w:sz w:val="19"/>
                <w:szCs w:val="19"/>
              </w:rPr>
            </w:pPr>
            <w:r w:rsidRPr="000F5B60">
              <w:rPr>
                <w:b/>
                <w:bCs/>
                <w:sz w:val="19"/>
                <w:szCs w:val="19"/>
                <w:lang w:eastAsia="zh-CN"/>
              </w:rPr>
              <w:lastRenderedPageBreak/>
              <w:t>时间</w:t>
            </w:r>
          </w:p>
        </w:tc>
        <w:tc>
          <w:tcPr>
            <w:tcW w:w="6344" w:type="dxa"/>
            <w:shd w:val="clear" w:color="auto" w:fill="3D85C1"/>
          </w:tcPr>
          <w:p w14:paraId="7C19E29E" w14:textId="77777777" w:rsidR="00993B64" w:rsidRPr="004A576F" w:rsidRDefault="00E42547">
            <w:pPr>
              <w:pStyle w:val="TableText"/>
              <w:spacing w:before="221" w:line="195" w:lineRule="auto"/>
              <w:jc w:val="center"/>
              <w:rPr>
                <w:rFonts w:hint="eastAsia"/>
                <w:b/>
                <w:bCs/>
                <w:sz w:val="19"/>
                <w:szCs w:val="19"/>
                <w:lang w:eastAsia="zh-CN"/>
              </w:rPr>
            </w:pPr>
            <w:r w:rsidRPr="004A576F">
              <w:rPr>
                <w:b/>
                <w:bCs/>
                <w:sz w:val="19"/>
                <w:szCs w:val="19"/>
                <w:lang w:eastAsia="zh-CN"/>
              </w:rPr>
              <w:t>数据/事件</w:t>
            </w:r>
          </w:p>
        </w:tc>
      </w:tr>
      <w:tr w:rsidR="00476925" w:rsidRPr="00B90389" w14:paraId="475FDE2D" w14:textId="77777777" w:rsidTr="00C11EBD">
        <w:trPr>
          <w:trHeight w:val="620"/>
        </w:trPr>
        <w:tc>
          <w:tcPr>
            <w:tcW w:w="1731" w:type="dxa"/>
          </w:tcPr>
          <w:p w14:paraId="6F0C96C7" w14:textId="08805E38" w:rsidR="00476925" w:rsidRPr="003E0237" w:rsidRDefault="0011524B" w:rsidP="00476925">
            <w:pPr>
              <w:pStyle w:val="TableText"/>
              <w:spacing w:before="221" w:line="180" w:lineRule="auto"/>
              <w:jc w:val="center"/>
              <w:rPr>
                <w:rFonts w:hint="eastAsia"/>
                <w:b/>
                <w:bCs/>
                <w:sz w:val="19"/>
                <w:szCs w:val="19"/>
                <w:lang w:eastAsia="zh-CN"/>
              </w:rPr>
            </w:pPr>
            <w:bookmarkStart w:id="0" w:name="_Hlk186443750"/>
            <w:r w:rsidRPr="0011524B">
              <w:rPr>
                <w:b/>
                <w:bCs/>
                <w:sz w:val="19"/>
                <w:szCs w:val="19"/>
                <w:lang w:eastAsia="zh-CN"/>
              </w:rPr>
              <w:t>2026/7/27</w:t>
            </w:r>
          </w:p>
        </w:tc>
        <w:tc>
          <w:tcPr>
            <w:tcW w:w="1314" w:type="dxa"/>
          </w:tcPr>
          <w:p w14:paraId="5101373E" w14:textId="3B987C39" w:rsidR="00476925" w:rsidRPr="003E0237" w:rsidRDefault="0011524B" w:rsidP="00476925">
            <w:pPr>
              <w:pStyle w:val="TableText"/>
              <w:spacing w:before="221" w:line="180" w:lineRule="auto"/>
              <w:jc w:val="center"/>
              <w:rPr>
                <w:rFonts w:hint="eastAsia"/>
                <w:b/>
                <w:bCs/>
                <w:sz w:val="19"/>
                <w:szCs w:val="19"/>
                <w:lang w:eastAsia="zh-CN"/>
              </w:rPr>
            </w:pPr>
            <w:r w:rsidRPr="0011524B">
              <w:rPr>
                <w:b/>
                <w:bCs/>
                <w:sz w:val="19"/>
                <w:szCs w:val="19"/>
                <w:lang w:eastAsia="zh-CN"/>
              </w:rPr>
              <w:t>20:30</w:t>
            </w:r>
          </w:p>
        </w:tc>
        <w:tc>
          <w:tcPr>
            <w:tcW w:w="6344" w:type="dxa"/>
          </w:tcPr>
          <w:p w14:paraId="36B1358B" w14:textId="078C40B5" w:rsidR="00476925" w:rsidRPr="003E0237" w:rsidRDefault="0011524B" w:rsidP="00476925">
            <w:pPr>
              <w:pStyle w:val="TableText"/>
              <w:spacing w:before="221" w:line="180" w:lineRule="auto"/>
              <w:jc w:val="center"/>
              <w:rPr>
                <w:rFonts w:hint="eastAsia"/>
                <w:b/>
                <w:bCs/>
                <w:sz w:val="19"/>
                <w:szCs w:val="19"/>
                <w:lang w:eastAsia="zh-CN"/>
              </w:rPr>
            </w:pPr>
            <w:r w:rsidRPr="0011524B">
              <w:rPr>
                <w:b/>
                <w:bCs/>
                <w:sz w:val="19"/>
                <w:szCs w:val="19"/>
                <w:lang w:eastAsia="zh-CN"/>
              </w:rPr>
              <w:t>美国 6 月耐用品订单</w:t>
            </w:r>
          </w:p>
        </w:tc>
      </w:tr>
      <w:bookmarkEnd w:id="0"/>
      <w:tr w:rsidR="00476925" w:rsidRPr="00B90389" w14:paraId="538C5248" w14:textId="77777777" w:rsidTr="00114051">
        <w:trPr>
          <w:trHeight w:val="620"/>
        </w:trPr>
        <w:tc>
          <w:tcPr>
            <w:tcW w:w="1731" w:type="dxa"/>
            <w:shd w:val="clear" w:color="auto" w:fill="DAE3F4" w:themeFill="accent1" w:themeFillTint="33"/>
          </w:tcPr>
          <w:p w14:paraId="5F62248C" w14:textId="6E23BE8D" w:rsidR="00476925" w:rsidRPr="003E0237" w:rsidRDefault="00476925" w:rsidP="00476925">
            <w:pPr>
              <w:pStyle w:val="TableText"/>
              <w:spacing w:before="221" w:line="180" w:lineRule="auto"/>
              <w:jc w:val="center"/>
              <w:rPr>
                <w:rFonts w:hint="eastAsia"/>
                <w:b/>
                <w:bCs/>
                <w:sz w:val="19"/>
                <w:szCs w:val="19"/>
                <w:lang w:eastAsia="zh-CN"/>
              </w:rPr>
            </w:pPr>
            <w:r w:rsidRPr="00476925">
              <w:rPr>
                <w:b/>
                <w:bCs/>
                <w:sz w:val="19"/>
                <w:szCs w:val="19"/>
                <w:lang w:eastAsia="zh-CN"/>
              </w:rPr>
              <w:t>2026/7/2</w:t>
            </w:r>
            <w:r w:rsidR="0011524B">
              <w:rPr>
                <w:rFonts w:hint="eastAsia"/>
                <w:b/>
                <w:bCs/>
                <w:sz w:val="19"/>
                <w:szCs w:val="19"/>
                <w:lang w:eastAsia="zh-CN"/>
              </w:rPr>
              <w:t>8</w:t>
            </w:r>
          </w:p>
        </w:tc>
        <w:tc>
          <w:tcPr>
            <w:tcW w:w="1314" w:type="dxa"/>
            <w:shd w:val="clear" w:color="auto" w:fill="DAE3F4" w:themeFill="accent1" w:themeFillTint="33"/>
          </w:tcPr>
          <w:p w14:paraId="5320F104" w14:textId="7F140ED7" w:rsidR="00476925" w:rsidRPr="003E0237" w:rsidRDefault="0011524B" w:rsidP="00476925">
            <w:pPr>
              <w:pStyle w:val="TableText"/>
              <w:spacing w:before="221" w:line="180" w:lineRule="auto"/>
              <w:jc w:val="center"/>
              <w:rPr>
                <w:rFonts w:hint="eastAsia"/>
                <w:b/>
                <w:bCs/>
                <w:sz w:val="19"/>
                <w:szCs w:val="19"/>
                <w:lang w:eastAsia="zh-CN"/>
              </w:rPr>
            </w:pPr>
            <w:r w:rsidRPr="0011524B">
              <w:rPr>
                <w:b/>
                <w:bCs/>
                <w:sz w:val="19"/>
                <w:szCs w:val="19"/>
                <w:lang w:eastAsia="zh-CN"/>
              </w:rPr>
              <w:t>11:05</w:t>
            </w:r>
          </w:p>
        </w:tc>
        <w:tc>
          <w:tcPr>
            <w:tcW w:w="6344" w:type="dxa"/>
            <w:shd w:val="clear" w:color="auto" w:fill="DAE3F4" w:themeFill="accent1" w:themeFillTint="33"/>
          </w:tcPr>
          <w:p w14:paraId="31CAFE58" w14:textId="229652B7" w:rsidR="00476925" w:rsidRPr="003E0237" w:rsidRDefault="0011524B" w:rsidP="00476925">
            <w:pPr>
              <w:pStyle w:val="TableText"/>
              <w:spacing w:before="221" w:line="180" w:lineRule="auto"/>
              <w:jc w:val="center"/>
              <w:rPr>
                <w:rFonts w:hint="eastAsia"/>
                <w:b/>
                <w:bCs/>
                <w:sz w:val="19"/>
                <w:szCs w:val="19"/>
                <w:lang w:eastAsia="zh-CN"/>
              </w:rPr>
            </w:pPr>
            <w:r w:rsidRPr="0011524B">
              <w:rPr>
                <w:b/>
                <w:bCs/>
                <w:sz w:val="19"/>
                <w:szCs w:val="19"/>
                <w:lang w:eastAsia="zh-CN"/>
              </w:rPr>
              <w:t>澳洲联储主席布洛克发表讲话</w:t>
            </w:r>
          </w:p>
        </w:tc>
      </w:tr>
      <w:tr w:rsidR="003E0237" w:rsidRPr="00B90389" w14:paraId="1E0205C1" w14:textId="77777777">
        <w:trPr>
          <w:trHeight w:val="620"/>
        </w:trPr>
        <w:tc>
          <w:tcPr>
            <w:tcW w:w="1731" w:type="dxa"/>
          </w:tcPr>
          <w:p w14:paraId="0F6E7AAC" w14:textId="246C4D0B" w:rsidR="003E0237" w:rsidRPr="003E0237" w:rsidRDefault="00476925" w:rsidP="003E0237">
            <w:pPr>
              <w:pStyle w:val="TableText"/>
              <w:spacing w:before="221" w:line="180" w:lineRule="auto"/>
              <w:jc w:val="center"/>
              <w:rPr>
                <w:rFonts w:hint="eastAsia"/>
                <w:b/>
                <w:bCs/>
                <w:sz w:val="19"/>
                <w:szCs w:val="19"/>
                <w:lang w:eastAsia="zh-CN"/>
              </w:rPr>
            </w:pPr>
            <w:r w:rsidRPr="00476925">
              <w:rPr>
                <w:b/>
                <w:bCs/>
                <w:sz w:val="19"/>
                <w:szCs w:val="19"/>
                <w:lang w:eastAsia="zh-CN"/>
              </w:rPr>
              <w:t>2026/7/2</w:t>
            </w:r>
            <w:r w:rsidR="0011524B">
              <w:rPr>
                <w:rFonts w:hint="eastAsia"/>
                <w:b/>
                <w:bCs/>
                <w:sz w:val="19"/>
                <w:szCs w:val="19"/>
                <w:lang w:eastAsia="zh-CN"/>
              </w:rPr>
              <w:t>9</w:t>
            </w:r>
          </w:p>
        </w:tc>
        <w:tc>
          <w:tcPr>
            <w:tcW w:w="1314" w:type="dxa"/>
          </w:tcPr>
          <w:p w14:paraId="1C64C080" w14:textId="6F6B0D83" w:rsidR="003E0237" w:rsidRPr="003E0237" w:rsidRDefault="0011524B" w:rsidP="003E0237">
            <w:pPr>
              <w:pStyle w:val="TableText"/>
              <w:spacing w:before="221" w:line="180" w:lineRule="auto"/>
              <w:jc w:val="center"/>
              <w:rPr>
                <w:rFonts w:hint="eastAsia"/>
                <w:b/>
                <w:bCs/>
                <w:sz w:val="19"/>
                <w:szCs w:val="19"/>
                <w:lang w:eastAsia="zh-CN"/>
              </w:rPr>
            </w:pPr>
            <w:r w:rsidRPr="0011524B">
              <w:rPr>
                <w:b/>
                <w:bCs/>
                <w:sz w:val="19"/>
                <w:szCs w:val="19"/>
                <w:lang w:eastAsia="zh-CN"/>
              </w:rPr>
              <w:t>22:30</w:t>
            </w:r>
          </w:p>
        </w:tc>
        <w:tc>
          <w:tcPr>
            <w:tcW w:w="6344" w:type="dxa"/>
          </w:tcPr>
          <w:p w14:paraId="6039A1D3" w14:textId="6F2F686B" w:rsidR="003E0237" w:rsidRPr="003E0237" w:rsidRDefault="0011524B" w:rsidP="003E0237">
            <w:pPr>
              <w:pStyle w:val="TableText"/>
              <w:spacing w:before="221" w:line="180" w:lineRule="auto"/>
              <w:jc w:val="center"/>
              <w:rPr>
                <w:rFonts w:hint="eastAsia"/>
                <w:b/>
                <w:bCs/>
                <w:sz w:val="19"/>
                <w:szCs w:val="19"/>
                <w:lang w:eastAsia="zh-CN"/>
              </w:rPr>
            </w:pPr>
            <w:r w:rsidRPr="0011524B">
              <w:rPr>
                <w:b/>
                <w:bCs/>
                <w:sz w:val="19"/>
                <w:szCs w:val="19"/>
                <w:lang w:eastAsia="zh-CN"/>
              </w:rPr>
              <w:t>美国至 7 月 24 日当周 API 原油库存</w:t>
            </w:r>
          </w:p>
        </w:tc>
      </w:tr>
      <w:tr w:rsidR="0011524B" w:rsidRPr="00B90389" w14:paraId="3039555E" w14:textId="77777777" w:rsidTr="007F6807">
        <w:trPr>
          <w:trHeight w:val="620"/>
        </w:trPr>
        <w:tc>
          <w:tcPr>
            <w:tcW w:w="1731" w:type="dxa"/>
            <w:shd w:val="clear" w:color="auto" w:fill="DAE3F4" w:themeFill="accent1" w:themeFillTint="33"/>
          </w:tcPr>
          <w:p w14:paraId="19B0A434" w14:textId="249B4069"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2026/7/30</w:t>
            </w:r>
          </w:p>
        </w:tc>
        <w:tc>
          <w:tcPr>
            <w:tcW w:w="1314" w:type="dxa"/>
            <w:shd w:val="clear" w:color="auto" w:fill="DAE3F4" w:themeFill="accent1" w:themeFillTint="33"/>
          </w:tcPr>
          <w:p w14:paraId="28981344" w14:textId="70E6016A"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02:00</w:t>
            </w:r>
          </w:p>
        </w:tc>
        <w:tc>
          <w:tcPr>
            <w:tcW w:w="6344" w:type="dxa"/>
            <w:shd w:val="clear" w:color="auto" w:fill="DAE3F4" w:themeFill="accent1" w:themeFillTint="33"/>
          </w:tcPr>
          <w:p w14:paraId="6D27F044" w14:textId="300E9FCF"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美联储 FOMC 公布利率决议</w:t>
            </w:r>
          </w:p>
        </w:tc>
      </w:tr>
      <w:tr w:rsidR="0011524B" w:rsidRPr="00B90389" w14:paraId="4659B553" w14:textId="77777777">
        <w:trPr>
          <w:trHeight w:val="620"/>
        </w:trPr>
        <w:tc>
          <w:tcPr>
            <w:tcW w:w="1731" w:type="dxa"/>
          </w:tcPr>
          <w:p w14:paraId="4166195B" w14:textId="4DDDE178"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2026/7/30</w:t>
            </w:r>
          </w:p>
        </w:tc>
        <w:tc>
          <w:tcPr>
            <w:tcW w:w="1314" w:type="dxa"/>
          </w:tcPr>
          <w:p w14:paraId="04E77E1F" w14:textId="0048B944"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02:30</w:t>
            </w:r>
          </w:p>
        </w:tc>
        <w:tc>
          <w:tcPr>
            <w:tcW w:w="6344" w:type="dxa"/>
          </w:tcPr>
          <w:p w14:paraId="3FDE185E" w14:textId="14DE1B57"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美联储主席沃什召开货币政策新闻发布会</w:t>
            </w:r>
          </w:p>
        </w:tc>
      </w:tr>
      <w:tr w:rsidR="0011524B" w:rsidRPr="00B90389" w14:paraId="5B638662" w14:textId="77777777" w:rsidTr="008E453D">
        <w:trPr>
          <w:trHeight w:val="620"/>
        </w:trPr>
        <w:tc>
          <w:tcPr>
            <w:tcW w:w="1731" w:type="dxa"/>
            <w:shd w:val="clear" w:color="auto" w:fill="DAE3F4" w:themeFill="accent1" w:themeFillTint="33"/>
          </w:tcPr>
          <w:p w14:paraId="5CD88DF5" w14:textId="5C2FE7C0"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2026/7/30</w:t>
            </w:r>
          </w:p>
        </w:tc>
        <w:tc>
          <w:tcPr>
            <w:tcW w:w="1314" w:type="dxa"/>
            <w:shd w:val="clear" w:color="auto" w:fill="DAE3F4" w:themeFill="accent1" w:themeFillTint="33"/>
          </w:tcPr>
          <w:p w14:paraId="7ACADDC5" w14:textId="1AE0C6E2"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17:00</w:t>
            </w:r>
          </w:p>
        </w:tc>
        <w:tc>
          <w:tcPr>
            <w:tcW w:w="6344" w:type="dxa"/>
            <w:shd w:val="clear" w:color="auto" w:fill="DAE3F4" w:themeFill="accent1" w:themeFillTint="33"/>
          </w:tcPr>
          <w:p w14:paraId="53AAD2BD" w14:textId="48EF0D79"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欧元区第二季度 GDP 初值</w:t>
            </w:r>
          </w:p>
        </w:tc>
      </w:tr>
      <w:tr w:rsidR="0011524B" w:rsidRPr="00B90389" w14:paraId="46C9FBB6" w14:textId="77777777" w:rsidTr="008E453D">
        <w:trPr>
          <w:trHeight w:val="619"/>
        </w:trPr>
        <w:tc>
          <w:tcPr>
            <w:tcW w:w="1731" w:type="dxa"/>
          </w:tcPr>
          <w:p w14:paraId="4EA37862" w14:textId="41F4B2A5"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2026/7/30</w:t>
            </w:r>
          </w:p>
        </w:tc>
        <w:tc>
          <w:tcPr>
            <w:tcW w:w="1314" w:type="dxa"/>
          </w:tcPr>
          <w:p w14:paraId="704E1513" w14:textId="43C2E24E"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19:00</w:t>
            </w:r>
          </w:p>
        </w:tc>
        <w:tc>
          <w:tcPr>
            <w:tcW w:w="6344" w:type="dxa"/>
          </w:tcPr>
          <w:p w14:paraId="7E8B730F" w14:textId="423765ED"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英国央行公布利率决议</w:t>
            </w:r>
          </w:p>
        </w:tc>
      </w:tr>
      <w:tr w:rsidR="0011524B" w:rsidRPr="00B90389" w14:paraId="66C245B2" w14:textId="77777777" w:rsidTr="00C652C6">
        <w:trPr>
          <w:trHeight w:val="619"/>
        </w:trPr>
        <w:tc>
          <w:tcPr>
            <w:tcW w:w="1731" w:type="dxa"/>
            <w:shd w:val="clear" w:color="auto" w:fill="DAE3F4" w:themeFill="accent1" w:themeFillTint="33"/>
          </w:tcPr>
          <w:p w14:paraId="2A5DBCC4" w14:textId="4946FDAD"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2026/7/30</w:t>
            </w:r>
          </w:p>
        </w:tc>
        <w:tc>
          <w:tcPr>
            <w:tcW w:w="1314" w:type="dxa"/>
            <w:shd w:val="clear" w:color="auto" w:fill="DAE3F4" w:themeFill="accent1" w:themeFillTint="33"/>
          </w:tcPr>
          <w:p w14:paraId="691F62A6" w14:textId="625F71CF"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20:30</w:t>
            </w:r>
          </w:p>
        </w:tc>
        <w:tc>
          <w:tcPr>
            <w:tcW w:w="6344" w:type="dxa"/>
            <w:shd w:val="clear" w:color="auto" w:fill="DAE3F4" w:themeFill="accent1" w:themeFillTint="33"/>
          </w:tcPr>
          <w:p w14:paraId="74186407" w14:textId="12DF339D"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美国第二季度实际 GDP 年化季率初值</w:t>
            </w:r>
            <w:r>
              <w:rPr>
                <w:rFonts w:hint="eastAsia"/>
                <w:b/>
                <w:bCs/>
                <w:sz w:val="19"/>
                <w:szCs w:val="19"/>
                <w:lang w:eastAsia="zh-CN"/>
              </w:rPr>
              <w:t>/</w:t>
            </w:r>
            <w:r w:rsidRPr="0011524B">
              <w:rPr>
                <w:b/>
                <w:bCs/>
                <w:sz w:val="19"/>
                <w:szCs w:val="19"/>
                <w:lang w:eastAsia="zh-CN"/>
              </w:rPr>
              <w:t>6 月 PCE 物价指数</w:t>
            </w:r>
          </w:p>
        </w:tc>
      </w:tr>
      <w:tr w:rsidR="0011524B" w:rsidRPr="00B90389" w14:paraId="5A98056B" w14:textId="77777777" w:rsidTr="008E453D">
        <w:trPr>
          <w:trHeight w:val="619"/>
        </w:trPr>
        <w:tc>
          <w:tcPr>
            <w:tcW w:w="1731" w:type="dxa"/>
          </w:tcPr>
          <w:p w14:paraId="471B0FE8" w14:textId="51674BA3"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2026/7/31</w:t>
            </w:r>
          </w:p>
        </w:tc>
        <w:tc>
          <w:tcPr>
            <w:tcW w:w="1314" w:type="dxa"/>
          </w:tcPr>
          <w:p w14:paraId="743DFF36" w14:textId="08F0C579"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09:30</w:t>
            </w:r>
          </w:p>
        </w:tc>
        <w:tc>
          <w:tcPr>
            <w:tcW w:w="6344" w:type="dxa"/>
          </w:tcPr>
          <w:p w14:paraId="0974A2D9" w14:textId="09038B09"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中国 7 月官方 PMI</w:t>
            </w:r>
          </w:p>
        </w:tc>
      </w:tr>
      <w:tr w:rsidR="0011524B" w:rsidRPr="00B90389" w14:paraId="044E4A02" w14:textId="77777777" w:rsidTr="00C652C6">
        <w:trPr>
          <w:trHeight w:val="619"/>
        </w:trPr>
        <w:tc>
          <w:tcPr>
            <w:tcW w:w="1731" w:type="dxa"/>
            <w:shd w:val="clear" w:color="auto" w:fill="DAE3F4" w:themeFill="accent1" w:themeFillTint="33"/>
          </w:tcPr>
          <w:p w14:paraId="2B2856BA" w14:textId="21A8183E"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2026/7/31</w:t>
            </w:r>
          </w:p>
        </w:tc>
        <w:tc>
          <w:tcPr>
            <w:tcW w:w="1314" w:type="dxa"/>
            <w:shd w:val="clear" w:color="auto" w:fill="DAE3F4" w:themeFill="accent1" w:themeFillTint="33"/>
          </w:tcPr>
          <w:p w14:paraId="4593F84F" w14:textId="0DFF96F4"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17:00</w:t>
            </w:r>
          </w:p>
        </w:tc>
        <w:tc>
          <w:tcPr>
            <w:tcW w:w="6344" w:type="dxa"/>
            <w:shd w:val="clear" w:color="auto" w:fill="DAE3F4" w:themeFill="accent1" w:themeFillTint="33"/>
          </w:tcPr>
          <w:p w14:paraId="58A9C743" w14:textId="2A516DA1" w:rsidR="0011524B" w:rsidRPr="003E0237" w:rsidRDefault="0011524B" w:rsidP="0011524B">
            <w:pPr>
              <w:pStyle w:val="TableText"/>
              <w:spacing w:before="221" w:line="180" w:lineRule="auto"/>
              <w:jc w:val="center"/>
              <w:rPr>
                <w:rFonts w:hint="eastAsia"/>
                <w:b/>
                <w:bCs/>
                <w:sz w:val="19"/>
                <w:szCs w:val="19"/>
                <w:lang w:eastAsia="zh-CN"/>
              </w:rPr>
            </w:pPr>
            <w:r w:rsidRPr="0011524B">
              <w:rPr>
                <w:b/>
                <w:bCs/>
                <w:sz w:val="19"/>
                <w:szCs w:val="19"/>
                <w:lang w:eastAsia="zh-CN"/>
              </w:rPr>
              <w:t>日本央行公布利率决议</w:t>
            </w:r>
          </w:p>
        </w:tc>
      </w:tr>
    </w:tbl>
    <w:p w14:paraId="7EEB015E" w14:textId="77777777" w:rsidR="00267DDF" w:rsidRPr="004E3CEF" w:rsidRDefault="00267DDF" w:rsidP="0098789F">
      <w:pPr>
        <w:pStyle w:val="TableText"/>
        <w:spacing w:before="221" w:line="180" w:lineRule="auto"/>
        <w:rPr>
          <w:rFonts w:hint="eastAsia"/>
          <w:b/>
          <w:bCs/>
          <w:sz w:val="19"/>
          <w:szCs w:val="19"/>
          <w:lang w:eastAsia="zh-CN"/>
        </w:rPr>
      </w:pPr>
    </w:p>
    <w:p w14:paraId="3FB1343F" w14:textId="1D741120" w:rsidR="00993B64" w:rsidRDefault="00E42547">
      <w:pPr>
        <w:spacing w:before="172" w:line="417" w:lineRule="exact"/>
        <w:rPr>
          <w:rFonts w:ascii="微软雅黑" w:eastAsia="微软雅黑" w:hAnsi="微软雅黑" w:cs="微软雅黑" w:hint="eastAsia"/>
          <w:sz w:val="20"/>
          <w:szCs w:val="20"/>
          <w:lang w:eastAsia="zh-CN"/>
        </w:rPr>
      </w:pP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0C2E2823" w14:textId="77777777" w:rsidR="00993B64" w:rsidRDefault="00E42547">
      <w:pPr>
        <w:spacing w:before="63" w:line="193" w:lineRule="auto"/>
        <w:ind w:left="340" w:right="706" w:firstLine="379"/>
        <w:jc w:val="both"/>
        <w:rPr>
          <w:rFonts w:ascii="微软雅黑" w:eastAsia="微软雅黑" w:hAnsi="微软雅黑" w:cs="微软雅黑" w:hint="eastAsia"/>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8"/>
          <w:sz w:val="18"/>
          <w:szCs w:val="18"/>
          <w:lang w:eastAsia="zh-CN"/>
        </w:rPr>
        <w:t>则。</w:t>
      </w:r>
    </w:p>
    <w:p w14:paraId="61C689A0" w14:textId="77777777" w:rsidR="00993B64" w:rsidRDefault="00E42547" w:rsidP="00A8017C">
      <w:pPr>
        <w:spacing w:before="34" w:line="189" w:lineRule="auto"/>
        <w:ind w:left="337" w:right="707" w:firstLine="381"/>
        <w:jc w:val="both"/>
        <w:rPr>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7F18DFD2" w14:textId="77777777" w:rsidR="00993B64" w:rsidRPr="002F51E2" w:rsidRDefault="00993B64">
      <w:pPr>
        <w:spacing w:before="34" w:line="569" w:lineRule="exact"/>
        <w:rPr>
          <w:rFonts w:eastAsiaTheme="minorEastAsia"/>
          <w:lang w:eastAsia="zh-CN"/>
        </w:rPr>
      </w:pPr>
    </w:p>
    <w:p w14:paraId="784F7053" w14:textId="77777777" w:rsidR="00993B64" w:rsidRDefault="00E42547">
      <w:pPr>
        <w:spacing w:line="3052" w:lineRule="exact"/>
        <w:jc w:val="center"/>
      </w:pPr>
      <w:r>
        <w:rPr>
          <w:noProof/>
          <w:position w:val="-61"/>
          <w:lang w:eastAsia="zh-CN"/>
        </w:rPr>
        <w:drawing>
          <wp:inline distT="0" distB="0" distL="0" distR="0" wp14:anchorId="4F115C30" wp14:editId="680A7ACC">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36"/>
                    <a:stretch>
                      <a:fillRect/>
                    </a:stretch>
                  </pic:blipFill>
                  <pic:spPr>
                    <a:xfrm>
                      <a:off x="0" y="0"/>
                      <a:ext cx="1936488" cy="1938179"/>
                    </a:xfrm>
                    <a:prstGeom prst="rect">
                      <a:avLst/>
                    </a:prstGeom>
                  </pic:spPr>
                </pic:pic>
              </a:graphicData>
            </a:graphic>
          </wp:inline>
        </w:drawing>
      </w:r>
    </w:p>
    <w:p w14:paraId="1A9515DE" w14:textId="77777777" w:rsidR="00993B64" w:rsidRDefault="00993B64">
      <w:pPr>
        <w:pStyle w:val="a3"/>
        <w:spacing w:line="371" w:lineRule="auto"/>
        <w:jc w:val="center"/>
      </w:pPr>
    </w:p>
    <w:p w14:paraId="6474A6E9" w14:textId="77777777" w:rsidR="00993B64" w:rsidRDefault="00E42547">
      <w:pPr>
        <w:spacing w:before="103" w:line="191"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6A341A80" w14:textId="77777777" w:rsidR="00993B64" w:rsidRDefault="00E42547">
      <w:pPr>
        <w:spacing w:before="233" w:line="175"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6BE982E1" w14:textId="77777777" w:rsidR="00993B64" w:rsidRDefault="00E42547">
      <w:pPr>
        <w:spacing w:before="258" w:line="190" w:lineRule="auto"/>
        <w:jc w:val="center"/>
        <w:rPr>
          <w:rFonts w:ascii="微软雅黑" w:eastAsia="微软雅黑" w:hAnsi="微软雅黑" w:cs="微软雅黑" w:hint="eastAsia"/>
          <w:sz w:val="24"/>
          <w:szCs w:val="24"/>
        </w:rPr>
      </w:pPr>
      <w:r>
        <w:rPr>
          <w:rFonts w:ascii="微软雅黑" w:eastAsia="微软雅黑" w:hAnsi="微软雅黑" w:cs="微软雅黑"/>
          <w:spacing w:val="13"/>
          <w:sz w:val="24"/>
          <w:szCs w:val="24"/>
        </w:rPr>
        <w:lastRenderedPageBreak/>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784EDE88" w14:textId="77777777" w:rsidR="00993B64" w:rsidRDefault="00E42547">
      <w:pPr>
        <w:spacing w:before="234" w:line="192" w:lineRule="auto"/>
        <w:jc w:val="center"/>
        <w:rPr>
          <w:rFonts w:ascii="微软雅黑" w:eastAsia="微软雅黑" w:hAnsi="微软雅黑" w:cs="微软雅黑" w:hint="eastAsia"/>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4BBFDB9" w14:textId="77777777" w:rsidR="00993B64" w:rsidRDefault="00E42547">
      <w:pPr>
        <w:spacing w:before="234" w:line="176" w:lineRule="auto"/>
        <w:jc w:val="center"/>
        <w:rPr>
          <w:rFonts w:ascii="微软雅黑" w:eastAsia="微软雅黑" w:hAnsi="微软雅黑" w:cs="微软雅黑" w:hint="eastAsia"/>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244C50C6" w14:textId="160CD2D7" w:rsidR="00993B64" w:rsidRPr="002F51E2" w:rsidRDefault="00E42547" w:rsidP="002F51E2">
      <w:pPr>
        <w:spacing w:before="253" w:line="177"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93B64" w:rsidRPr="002F51E2">
      <w:headerReference w:type="default" r:id="rId37"/>
      <w:footerReference w:type="default" r:id="rId38"/>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A511A" w14:textId="77777777" w:rsidR="00EA0010" w:rsidRDefault="00EA0010">
      <w:r>
        <w:separator/>
      </w:r>
    </w:p>
  </w:endnote>
  <w:endnote w:type="continuationSeparator" w:id="0">
    <w:p w14:paraId="4CE8E6BB" w14:textId="77777777" w:rsidR="00EA0010" w:rsidRDefault="00EA0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思源黑体 CN Bold">
    <w:altName w:val="宋体"/>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6539" w14:textId="77777777" w:rsidR="00993B64" w:rsidRDefault="00993B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50AA6" w14:textId="77777777" w:rsidR="00EA0010" w:rsidRDefault="00EA0010">
      <w:r>
        <w:separator/>
      </w:r>
    </w:p>
  </w:footnote>
  <w:footnote w:type="continuationSeparator" w:id="0">
    <w:p w14:paraId="21B07010" w14:textId="77777777" w:rsidR="00EA0010" w:rsidRDefault="00EA0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5D23" w14:textId="77777777" w:rsidR="00993B64" w:rsidRDefault="00E42547">
    <w:pPr>
      <w:pStyle w:val="a3"/>
      <w:pBdr>
        <w:bottom w:val="double" w:sz="8" w:space="0" w:color="0766D4"/>
      </w:pBdr>
      <w:spacing w:line="14" w:lineRule="auto"/>
      <w:rPr>
        <w:sz w:val="2"/>
      </w:rPr>
    </w:pPr>
    <w:r>
      <w:rPr>
        <w:noProof/>
        <w:lang w:eastAsia="zh-CN"/>
      </w:rPr>
      <w:drawing>
        <wp:anchor distT="0" distB="0" distL="0" distR="0" simplePos="0" relativeHeight="251659264" behindDoc="1" locked="0" layoutInCell="0" allowOverlap="1" wp14:anchorId="772159BA" wp14:editId="557C3705">
          <wp:simplePos x="0" y="0"/>
          <wp:positionH relativeFrom="page">
            <wp:posOffset>0</wp:posOffset>
          </wp:positionH>
          <wp:positionV relativeFrom="page">
            <wp:posOffset>0</wp:posOffset>
          </wp:positionV>
          <wp:extent cx="7560310" cy="8609330"/>
          <wp:effectExtent l="0" t="0" r="2540" b="1270"/>
          <wp:wrapNone/>
          <wp:docPr id="1780452941"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3282" w14:textId="77777777" w:rsidR="00993B64" w:rsidRDefault="00E42547">
    <w:pPr>
      <w:pStyle w:val="a3"/>
      <w:pBdr>
        <w:top w:val="none" w:sz="0" w:space="1" w:color="auto"/>
        <w:left w:val="none" w:sz="0" w:space="4" w:color="auto"/>
        <w:bottom w:val="thinThickSmallGap" w:sz="24" w:space="0" w:color="3669AB"/>
        <w:right w:val="none" w:sz="0" w:space="4" w:color="auto"/>
      </w:pBdr>
      <w:ind w:rightChars="200" w:right="42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19579DCD" wp14:editId="514D72ED">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9F208" w14:textId="77777777" w:rsidR="00993B64" w:rsidRDefault="00993B64">
                          <w:pPr>
                            <w:pStyle w:val="a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579DCD" id="_x0000_t202" coordsize="21600,21600" o:spt="202" path="m,l,21600r21600,l21600,xe">
              <v:stroke joinstyle="miter"/>
              <v:path gradientshapeok="t" o:connecttype="rect"/>
            </v:shapetype>
            <v:shape id="文本框 9" o:spid="_x0000_s1037"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159F208" w14:textId="77777777" w:rsidR="00993B64" w:rsidRDefault="00993B64">
                    <w:pPr>
                      <w:pStyle w:val="a6"/>
                    </w:pPr>
                  </w:p>
                </w:txbxContent>
              </v:textbox>
              <w10:wrap anchorx="margin"/>
            </v:shape>
          </w:pict>
        </mc:Fallback>
      </mc:AlternateContent>
    </w:r>
    <w:r>
      <w:rPr>
        <w:rFonts w:eastAsia="宋体" w:hint="eastAsia"/>
        <w:noProof/>
        <w:sz w:val="2"/>
        <w:lang w:eastAsia="zh-CN"/>
      </w:rPr>
      <w:drawing>
        <wp:inline distT="0" distB="0" distL="114300" distR="114300" wp14:anchorId="233EC371" wp14:editId="39DC9B9F">
          <wp:extent cx="2263140" cy="810895"/>
          <wp:effectExtent l="0" t="0" r="3810" b="0"/>
          <wp:docPr id="34" name="图片 34"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64CA7A45" w14:textId="77777777" w:rsidR="00993B64" w:rsidRDefault="00993B64">
    <w:pPr>
      <w:pStyle w:val="a3"/>
      <w:pBdr>
        <w:bottom w:val="single" w:sz="4" w:space="0" w:color="3669AB"/>
      </w:pBdr>
      <w:ind w:rightChars="200" w:right="420"/>
      <w:jc w:val="right"/>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C38C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 o:bullet="t">
        <v:imagedata r:id="rId1" o:title=""/>
      </v:shape>
    </w:pict>
  </w:numPicBullet>
  <w:numPicBullet w:numPicBulletId="1">
    <w:pict>
      <v:shape id="_x0000_i1026" type="#_x0000_t75" style="width:10.5pt;height:14.25pt;visibility:visible" o:bullet="t">
        <v:imagedata r:id="rId2" o:title=""/>
      </v:shape>
    </w:pict>
  </w:numPicBullet>
  <w:abstractNum w:abstractNumId="0" w15:restartNumberingAfterBreak="0">
    <w:nsid w:val="72BD7A2D"/>
    <w:multiLevelType w:val="hybridMultilevel"/>
    <w:tmpl w:val="D12C26C2"/>
    <w:lvl w:ilvl="0" w:tplc="4C4EBAF4">
      <w:start w:val="1"/>
      <w:numFmt w:val="bullet"/>
      <w:lvlText w:val=""/>
      <w:lvlPicBulletId w:val="0"/>
      <w:lvlJc w:val="left"/>
      <w:pPr>
        <w:tabs>
          <w:tab w:val="num" w:pos="440"/>
        </w:tabs>
        <w:ind w:left="440" w:firstLine="0"/>
      </w:pPr>
      <w:rPr>
        <w:rFonts w:ascii="Symbol" w:hAnsi="Symbol" w:hint="default"/>
      </w:rPr>
    </w:lvl>
    <w:lvl w:ilvl="1" w:tplc="BC36FB88" w:tentative="1">
      <w:start w:val="1"/>
      <w:numFmt w:val="bullet"/>
      <w:lvlText w:val=""/>
      <w:lvlJc w:val="left"/>
      <w:pPr>
        <w:tabs>
          <w:tab w:val="num" w:pos="880"/>
        </w:tabs>
        <w:ind w:left="880" w:firstLine="0"/>
      </w:pPr>
      <w:rPr>
        <w:rFonts w:ascii="Symbol" w:hAnsi="Symbol" w:hint="default"/>
      </w:rPr>
    </w:lvl>
    <w:lvl w:ilvl="2" w:tplc="33127FB2" w:tentative="1">
      <w:start w:val="1"/>
      <w:numFmt w:val="bullet"/>
      <w:lvlText w:val=""/>
      <w:lvlJc w:val="left"/>
      <w:pPr>
        <w:tabs>
          <w:tab w:val="num" w:pos="1320"/>
        </w:tabs>
        <w:ind w:left="1320" w:firstLine="0"/>
      </w:pPr>
      <w:rPr>
        <w:rFonts w:ascii="Symbol" w:hAnsi="Symbol" w:hint="default"/>
      </w:rPr>
    </w:lvl>
    <w:lvl w:ilvl="3" w:tplc="4E5CA6CA" w:tentative="1">
      <w:start w:val="1"/>
      <w:numFmt w:val="bullet"/>
      <w:lvlText w:val=""/>
      <w:lvlJc w:val="left"/>
      <w:pPr>
        <w:tabs>
          <w:tab w:val="num" w:pos="1760"/>
        </w:tabs>
        <w:ind w:left="1760" w:firstLine="0"/>
      </w:pPr>
      <w:rPr>
        <w:rFonts w:ascii="Symbol" w:hAnsi="Symbol" w:hint="default"/>
      </w:rPr>
    </w:lvl>
    <w:lvl w:ilvl="4" w:tplc="3994687E" w:tentative="1">
      <w:start w:val="1"/>
      <w:numFmt w:val="bullet"/>
      <w:lvlText w:val=""/>
      <w:lvlJc w:val="left"/>
      <w:pPr>
        <w:tabs>
          <w:tab w:val="num" w:pos="2200"/>
        </w:tabs>
        <w:ind w:left="2200" w:firstLine="0"/>
      </w:pPr>
      <w:rPr>
        <w:rFonts w:ascii="Symbol" w:hAnsi="Symbol" w:hint="default"/>
      </w:rPr>
    </w:lvl>
    <w:lvl w:ilvl="5" w:tplc="0F1E5E26" w:tentative="1">
      <w:start w:val="1"/>
      <w:numFmt w:val="bullet"/>
      <w:lvlText w:val=""/>
      <w:lvlJc w:val="left"/>
      <w:pPr>
        <w:tabs>
          <w:tab w:val="num" w:pos="2640"/>
        </w:tabs>
        <w:ind w:left="2640" w:firstLine="0"/>
      </w:pPr>
      <w:rPr>
        <w:rFonts w:ascii="Symbol" w:hAnsi="Symbol" w:hint="default"/>
      </w:rPr>
    </w:lvl>
    <w:lvl w:ilvl="6" w:tplc="2E98C6CC" w:tentative="1">
      <w:start w:val="1"/>
      <w:numFmt w:val="bullet"/>
      <w:lvlText w:val=""/>
      <w:lvlJc w:val="left"/>
      <w:pPr>
        <w:tabs>
          <w:tab w:val="num" w:pos="3080"/>
        </w:tabs>
        <w:ind w:left="3080" w:firstLine="0"/>
      </w:pPr>
      <w:rPr>
        <w:rFonts w:ascii="Symbol" w:hAnsi="Symbol" w:hint="default"/>
      </w:rPr>
    </w:lvl>
    <w:lvl w:ilvl="7" w:tplc="2826C79E" w:tentative="1">
      <w:start w:val="1"/>
      <w:numFmt w:val="bullet"/>
      <w:lvlText w:val=""/>
      <w:lvlJc w:val="left"/>
      <w:pPr>
        <w:tabs>
          <w:tab w:val="num" w:pos="3520"/>
        </w:tabs>
        <w:ind w:left="3520" w:firstLine="0"/>
      </w:pPr>
      <w:rPr>
        <w:rFonts w:ascii="Symbol" w:hAnsi="Symbol" w:hint="default"/>
      </w:rPr>
    </w:lvl>
    <w:lvl w:ilvl="8" w:tplc="95FC7D42" w:tentative="1">
      <w:start w:val="1"/>
      <w:numFmt w:val="bullet"/>
      <w:lvlText w:val=""/>
      <w:lvlJc w:val="left"/>
      <w:pPr>
        <w:tabs>
          <w:tab w:val="num" w:pos="3960"/>
        </w:tabs>
        <w:ind w:left="3960" w:firstLine="0"/>
      </w:pPr>
      <w:rPr>
        <w:rFonts w:ascii="Symbol" w:hAnsi="Symbol" w:hint="default"/>
      </w:rPr>
    </w:lvl>
  </w:abstractNum>
  <w:num w:numId="1" w16cid:durableId="129147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zh-CN" w:vendorID="64" w:dllVersion="0" w:nlCheck="1" w:checkStyle="1"/>
  <w:activeWritingStyle w:appName="MSWord" w:lang="en-US" w:vendorID="64" w:dllVersion="4096" w:nlCheck="1" w:checkStyle="0"/>
  <w:activeWritingStyle w:appName="MSWord" w:lang="en-CA" w:vendorID="64" w:dllVersion="4096" w:nlCheck="1" w:checkStyle="0"/>
  <w:activeWritingStyle w:appName="MSWord" w:lang="zh-CN" w:vendorID="64" w:dllVersion="4096" w:nlCheck="1" w:checkStyle="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 w:name="KSO_WPS_MARK_KEY" w:val="3a4f4901-0884-4460-84d6-f984be701345"/>
  </w:docVars>
  <w:rsids>
    <w:rsidRoot w:val="19E86119"/>
    <w:rsid w:val="0000127D"/>
    <w:rsid w:val="00012277"/>
    <w:rsid w:val="00012FB2"/>
    <w:rsid w:val="0001659E"/>
    <w:rsid w:val="000171C9"/>
    <w:rsid w:val="00024481"/>
    <w:rsid w:val="000266A9"/>
    <w:rsid w:val="00032596"/>
    <w:rsid w:val="0003365D"/>
    <w:rsid w:val="000337B6"/>
    <w:rsid w:val="000349D0"/>
    <w:rsid w:val="000358BC"/>
    <w:rsid w:val="00037BAD"/>
    <w:rsid w:val="00043EDF"/>
    <w:rsid w:val="00046ED4"/>
    <w:rsid w:val="00047D81"/>
    <w:rsid w:val="000516B8"/>
    <w:rsid w:val="00052413"/>
    <w:rsid w:val="000529DF"/>
    <w:rsid w:val="000537D3"/>
    <w:rsid w:val="000544EE"/>
    <w:rsid w:val="00061B45"/>
    <w:rsid w:val="00070087"/>
    <w:rsid w:val="00071D34"/>
    <w:rsid w:val="000728E1"/>
    <w:rsid w:val="00073FC7"/>
    <w:rsid w:val="0008062E"/>
    <w:rsid w:val="000812AE"/>
    <w:rsid w:val="0008188F"/>
    <w:rsid w:val="00082F7B"/>
    <w:rsid w:val="00083176"/>
    <w:rsid w:val="00084DA4"/>
    <w:rsid w:val="00086C67"/>
    <w:rsid w:val="00090CEA"/>
    <w:rsid w:val="00091CF1"/>
    <w:rsid w:val="000955F5"/>
    <w:rsid w:val="00096CB8"/>
    <w:rsid w:val="000A1008"/>
    <w:rsid w:val="000A37F9"/>
    <w:rsid w:val="000A4F47"/>
    <w:rsid w:val="000A58A3"/>
    <w:rsid w:val="000A6096"/>
    <w:rsid w:val="000B1D86"/>
    <w:rsid w:val="000B5523"/>
    <w:rsid w:val="000B5BA4"/>
    <w:rsid w:val="000C4B47"/>
    <w:rsid w:val="000C4D7A"/>
    <w:rsid w:val="000D16CA"/>
    <w:rsid w:val="000D677A"/>
    <w:rsid w:val="000D71D5"/>
    <w:rsid w:val="000E2299"/>
    <w:rsid w:val="000E2B1F"/>
    <w:rsid w:val="000E6C31"/>
    <w:rsid w:val="000F2044"/>
    <w:rsid w:val="000F23B0"/>
    <w:rsid w:val="000F31DD"/>
    <w:rsid w:val="000F3952"/>
    <w:rsid w:val="000F5B60"/>
    <w:rsid w:val="001063E4"/>
    <w:rsid w:val="00106424"/>
    <w:rsid w:val="00111639"/>
    <w:rsid w:val="00111C72"/>
    <w:rsid w:val="001127BB"/>
    <w:rsid w:val="0011317A"/>
    <w:rsid w:val="00114051"/>
    <w:rsid w:val="0011524B"/>
    <w:rsid w:val="0011576B"/>
    <w:rsid w:val="00115C4D"/>
    <w:rsid w:val="00115C4E"/>
    <w:rsid w:val="001228D4"/>
    <w:rsid w:val="0012382D"/>
    <w:rsid w:val="00130AEC"/>
    <w:rsid w:val="0013110C"/>
    <w:rsid w:val="00131CDF"/>
    <w:rsid w:val="00132C65"/>
    <w:rsid w:val="001348E6"/>
    <w:rsid w:val="00140BF1"/>
    <w:rsid w:val="0014199C"/>
    <w:rsid w:val="0014585E"/>
    <w:rsid w:val="001466B7"/>
    <w:rsid w:val="00151E43"/>
    <w:rsid w:val="001526B9"/>
    <w:rsid w:val="00152FFE"/>
    <w:rsid w:val="00153730"/>
    <w:rsid w:val="00155814"/>
    <w:rsid w:val="001567A6"/>
    <w:rsid w:val="0015714E"/>
    <w:rsid w:val="00160080"/>
    <w:rsid w:val="00161F25"/>
    <w:rsid w:val="00165491"/>
    <w:rsid w:val="00166EF3"/>
    <w:rsid w:val="001677DB"/>
    <w:rsid w:val="001710D2"/>
    <w:rsid w:val="00172992"/>
    <w:rsid w:val="00173E51"/>
    <w:rsid w:val="001742D9"/>
    <w:rsid w:val="0017695B"/>
    <w:rsid w:val="00176CE4"/>
    <w:rsid w:val="00177156"/>
    <w:rsid w:val="0018003C"/>
    <w:rsid w:val="00181607"/>
    <w:rsid w:val="00184E17"/>
    <w:rsid w:val="0018689D"/>
    <w:rsid w:val="00186C7D"/>
    <w:rsid w:val="00191114"/>
    <w:rsid w:val="00192107"/>
    <w:rsid w:val="00192AB4"/>
    <w:rsid w:val="0019351F"/>
    <w:rsid w:val="0019599D"/>
    <w:rsid w:val="001A008D"/>
    <w:rsid w:val="001A0142"/>
    <w:rsid w:val="001A1FE8"/>
    <w:rsid w:val="001A2241"/>
    <w:rsid w:val="001A388A"/>
    <w:rsid w:val="001A6595"/>
    <w:rsid w:val="001B0902"/>
    <w:rsid w:val="001B4B2C"/>
    <w:rsid w:val="001D474F"/>
    <w:rsid w:val="001E0834"/>
    <w:rsid w:val="001E08E9"/>
    <w:rsid w:val="001E355B"/>
    <w:rsid w:val="001F2BB3"/>
    <w:rsid w:val="001F334C"/>
    <w:rsid w:val="001F3A82"/>
    <w:rsid w:val="001F5601"/>
    <w:rsid w:val="001F67F0"/>
    <w:rsid w:val="001F7F7E"/>
    <w:rsid w:val="00201052"/>
    <w:rsid w:val="00201622"/>
    <w:rsid w:val="00202D8D"/>
    <w:rsid w:val="0020366A"/>
    <w:rsid w:val="00204CD8"/>
    <w:rsid w:val="0020745A"/>
    <w:rsid w:val="00207464"/>
    <w:rsid w:val="0021006E"/>
    <w:rsid w:val="00210D38"/>
    <w:rsid w:val="0021169A"/>
    <w:rsid w:val="00214385"/>
    <w:rsid w:val="00217612"/>
    <w:rsid w:val="00223212"/>
    <w:rsid w:val="00224792"/>
    <w:rsid w:val="00230CCC"/>
    <w:rsid w:val="00231989"/>
    <w:rsid w:val="0023258B"/>
    <w:rsid w:val="00232C9B"/>
    <w:rsid w:val="002379B1"/>
    <w:rsid w:val="0024118E"/>
    <w:rsid w:val="00242A3C"/>
    <w:rsid w:val="00242CDF"/>
    <w:rsid w:val="002437C9"/>
    <w:rsid w:val="002441C6"/>
    <w:rsid w:val="002465B6"/>
    <w:rsid w:val="00246C38"/>
    <w:rsid w:val="002471D0"/>
    <w:rsid w:val="002503E6"/>
    <w:rsid w:val="00256C83"/>
    <w:rsid w:val="0026439A"/>
    <w:rsid w:val="00266244"/>
    <w:rsid w:val="00267C5A"/>
    <w:rsid w:val="00267D27"/>
    <w:rsid w:val="00267DDF"/>
    <w:rsid w:val="00271ECF"/>
    <w:rsid w:val="00275611"/>
    <w:rsid w:val="00275CB1"/>
    <w:rsid w:val="00280BF8"/>
    <w:rsid w:val="0028213F"/>
    <w:rsid w:val="00284BA1"/>
    <w:rsid w:val="0028529A"/>
    <w:rsid w:val="0029534B"/>
    <w:rsid w:val="00295F02"/>
    <w:rsid w:val="00296C65"/>
    <w:rsid w:val="002A4E52"/>
    <w:rsid w:val="002B1EFC"/>
    <w:rsid w:val="002B303E"/>
    <w:rsid w:val="002C0383"/>
    <w:rsid w:val="002C1352"/>
    <w:rsid w:val="002C2E97"/>
    <w:rsid w:val="002C3D9A"/>
    <w:rsid w:val="002D5478"/>
    <w:rsid w:val="002D5672"/>
    <w:rsid w:val="002E0254"/>
    <w:rsid w:val="002E4301"/>
    <w:rsid w:val="002E4428"/>
    <w:rsid w:val="002F29C3"/>
    <w:rsid w:val="002F2D62"/>
    <w:rsid w:val="002F3BE6"/>
    <w:rsid w:val="002F4AE2"/>
    <w:rsid w:val="002F51E2"/>
    <w:rsid w:val="002F526D"/>
    <w:rsid w:val="002F675F"/>
    <w:rsid w:val="002F678E"/>
    <w:rsid w:val="002F719C"/>
    <w:rsid w:val="00300AF0"/>
    <w:rsid w:val="00304BA0"/>
    <w:rsid w:val="0030624C"/>
    <w:rsid w:val="0030761B"/>
    <w:rsid w:val="00310509"/>
    <w:rsid w:val="003149CC"/>
    <w:rsid w:val="00320BF2"/>
    <w:rsid w:val="00326289"/>
    <w:rsid w:val="0033056E"/>
    <w:rsid w:val="00333F33"/>
    <w:rsid w:val="00334D6B"/>
    <w:rsid w:val="00345D18"/>
    <w:rsid w:val="003514DA"/>
    <w:rsid w:val="00352220"/>
    <w:rsid w:val="00360438"/>
    <w:rsid w:val="00360A3B"/>
    <w:rsid w:val="00360D05"/>
    <w:rsid w:val="00364453"/>
    <w:rsid w:val="00365B21"/>
    <w:rsid w:val="00366711"/>
    <w:rsid w:val="00366EB4"/>
    <w:rsid w:val="003700F6"/>
    <w:rsid w:val="003717C2"/>
    <w:rsid w:val="003718F7"/>
    <w:rsid w:val="00373FD7"/>
    <w:rsid w:val="0037471E"/>
    <w:rsid w:val="0037507A"/>
    <w:rsid w:val="003762BB"/>
    <w:rsid w:val="00376BDB"/>
    <w:rsid w:val="00377090"/>
    <w:rsid w:val="00380003"/>
    <w:rsid w:val="003820BA"/>
    <w:rsid w:val="00385877"/>
    <w:rsid w:val="0038684B"/>
    <w:rsid w:val="0039002C"/>
    <w:rsid w:val="00391792"/>
    <w:rsid w:val="0039375B"/>
    <w:rsid w:val="003961C6"/>
    <w:rsid w:val="0039687F"/>
    <w:rsid w:val="00396C00"/>
    <w:rsid w:val="003A2743"/>
    <w:rsid w:val="003A31F4"/>
    <w:rsid w:val="003A41B1"/>
    <w:rsid w:val="003A7C7D"/>
    <w:rsid w:val="003A7CA1"/>
    <w:rsid w:val="003B3A09"/>
    <w:rsid w:val="003B490B"/>
    <w:rsid w:val="003B5FE5"/>
    <w:rsid w:val="003C17C2"/>
    <w:rsid w:val="003C3841"/>
    <w:rsid w:val="003C6A62"/>
    <w:rsid w:val="003C7875"/>
    <w:rsid w:val="003D1566"/>
    <w:rsid w:val="003D4488"/>
    <w:rsid w:val="003D6878"/>
    <w:rsid w:val="003E0237"/>
    <w:rsid w:val="003E2C9E"/>
    <w:rsid w:val="003E3A0C"/>
    <w:rsid w:val="003E61AE"/>
    <w:rsid w:val="003E6312"/>
    <w:rsid w:val="003E665C"/>
    <w:rsid w:val="003E7045"/>
    <w:rsid w:val="003E70F0"/>
    <w:rsid w:val="003E7B1B"/>
    <w:rsid w:val="003F0F92"/>
    <w:rsid w:val="003F2709"/>
    <w:rsid w:val="003F31E2"/>
    <w:rsid w:val="003F3C90"/>
    <w:rsid w:val="003F595A"/>
    <w:rsid w:val="004001EF"/>
    <w:rsid w:val="0040323B"/>
    <w:rsid w:val="004049D5"/>
    <w:rsid w:val="00405BB3"/>
    <w:rsid w:val="0040629B"/>
    <w:rsid w:val="00407B1E"/>
    <w:rsid w:val="00412A30"/>
    <w:rsid w:val="0041523D"/>
    <w:rsid w:val="0041706C"/>
    <w:rsid w:val="00421CCB"/>
    <w:rsid w:val="0042281D"/>
    <w:rsid w:val="00426807"/>
    <w:rsid w:val="00426F3F"/>
    <w:rsid w:val="00427800"/>
    <w:rsid w:val="00431E1A"/>
    <w:rsid w:val="00433F82"/>
    <w:rsid w:val="00434CAE"/>
    <w:rsid w:val="00437BD4"/>
    <w:rsid w:val="00437F13"/>
    <w:rsid w:val="00441206"/>
    <w:rsid w:val="004412EC"/>
    <w:rsid w:val="004431EE"/>
    <w:rsid w:val="004437F3"/>
    <w:rsid w:val="004468A9"/>
    <w:rsid w:val="00453463"/>
    <w:rsid w:val="00454C90"/>
    <w:rsid w:val="00460331"/>
    <w:rsid w:val="00460646"/>
    <w:rsid w:val="00461710"/>
    <w:rsid w:val="00463C14"/>
    <w:rsid w:val="0046529F"/>
    <w:rsid w:val="004654E4"/>
    <w:rsid w:val="00465D93"/>
    <w:rsid w:val="00465FC0"/>
    <w:rsid w:val="004726FD"/>
    <w:rsid w:val="00472DE0"/>
    <w:rsid w:val="0047421F"/>
    <w:rsid w:val="00475394"/>
    <w:rsid w:val="00476925"/>
    <w:rsid w:val="00482668"/>
    <w:rsid w:val="00482AFC"/>
    <w:rsid w:val="00483509"/>
    <w:rsid w:val="004859EC"/>
    <w:rsid w:val="00485E77"/>
    <w:rsid w:val="004862D2"/>
    <w:rsid w:val="00487B1D"/>
    <w:rsid w:val="004910DC"/>
    <w:rsid w:val="00494990"/>
    <w:rsid w:val="004A09B7"/>
    <w:rsid w:val="004A106C"/>
    <w:rsid w:val="004A4AF5"/>
    <w:rsid w:val="004A576F"/>
    <w:rsid w:val="004B2BA7"/>
    <w:rsid w:val="004B3A09"/>
    <w:rsid w:val="004B3ACA"/>
    <w:rsid w:val="004B4D03"/>
    <w:rsid w:val="004B7178"/>
    <w:rsid w:val="004B72A2"/>
    <w:rsid w:val="004B77E9"/>
    <w:rsid w:val="004C3444"/>
    <w:rsid w:val="004C37EB"/>
    <w:rsid w:val="004C5DD7"/>
    <w:rsid w:val="004C5F6A"/>
    <w:rsid w:val="004D0635"/>
    <w:rsid w:val="004D0DE1"/>
    <w:rsid w:val="004D1917"/>
    <w:rsid w:val="004D5F86"/>
    <w:rsid w:val="004D6C4A"/>
    <w:rsid w:val="004E13EF"/>
    <w:rsid w:val="004E1793"/>
    <w:rsid w:val="004E38AB"/>
    <w:rsid w:val="004E3995"/>
    <w:rsid w:val="004E3CEF"/>
    <w:rsid w:val="004E4AD6"/>
    <w:rsid w:val="004F0F6E"/>
    <w:rsid w:val="004F1D52"/>
    <w:rsid w:val="004F6010"/>
    <w:rsid w:val="004F646C"/>
    <w:rsid w:val="004F77E6"/>
    <w:rsid w:val="0050215E"/>
    <w:rsid w:val="005025C0"/>
    <w:rsid w:val="00503305"/>
    <w:rsid w:val="00504DFB"/>
    <w:rsid w:val="00507F91"/>
    <w:rsid w:val="005126D3"/>
    <w:rsid w:val="005134CE"/>
    <w:rsid w:val="00517A64"/>
    <w:rsid w:val="00517E55"/>
    <w:rsid w:val="00520987"/>
    <w:rsid w:val="0052576A"/>
    <w:rsid w:val="00526441"/>
    <w:rsid w:val="005270A6"/>
    <w:rsid w:val="005309C2"/>
    <w:rsid w:val="00530BA9"/>
    <w:rsid w:val="00530F5C"/>
    <w:rsid w:val="00533EE1"/>
    <w:rsid w:val="00534ACA"/>
    <w:rsid w:val="00534F57"/>
    <w:rsid w:val="005360CD"/>
    <w:rsid w:val="0054266E"/>
    <w:rsid w:val="0054275B"/>
    <w:rsid w:val="00543A0C"/>
    <w:rsid w:val="00545893"/>
    <w:rsid w:val="0054686D"/>
    <w:rsid w:val="005472B7"/>
    <w:rsid w:val="00547441"/>
    <w:rsid w:val="00547EA8"/>
    <w:rsid w:val="00552DC2"/>
    <w:rsid w:val="00553EEB"/>
    <w:rsid w:val="0055403E"/>
    <w:rsid w:val="005541D4"/>
    <w:rsid w:val="005558EB"/>
    <w:rsid w:val="00557B80"/>
    <w:rsid w:val="0056277F"/>
    <w:rsid w:val="00563DE1"/>
    <w:rsid w:val="00566217"/>
    <w:rsid w:val="00567660"/>
    <w:rsid w:val="0057491B"/>
    <w:rsid w:val="005764DE"/>
    <w:rsid w:val="00576C22"/>
    <w:rsid w:val="00582EFD"/>
    <w:rsid w:val="00590521"/>
    <w:rsid w:val="00593C5A"/>
    <w:rsid w:val="00595C4C"/>
    <w:rsid w:val="005A0B8A"/>
    <w:rsid w:val="005A398B"/>
    <w:rsid w:val="005A4BD8"/>
    <w:rsid w:val="005A6C57"/>
    <w:rsid w:val="005C1405"/>
    <w:rsid w:val="005C6E4D"/>
    <w:rsid w:val="005D24AB"/>
    <w:rsid w:val="005D2924"/>
    <w:rsid w:val="005D3DA0"/>
    <w:rsid w:val="005D5879"/>
    <w:rsid w:val="005E008C"/>
    <w:rsid w:val="005E5AA7"/>
    <w:rsid w:val="005F32AB"/>
    <w:rsid w:val="005F36C6"/>
    <w:rsid w:val="005F68AE"/>
    <w:rsid w:val="0060269A"/>
    <w:rsid w:val="00602D33"/>
    <w:rsid w:val="00603EAF"/>
    <w:rsid w:val="00605CBB"/>
    <w:rsid w:val="006063C0"/>
    <w:rsid w:val="006067F6"/>
    <w:rsid w:val="00610EB5"/>
    <w:rsid w:val="00611ECC"/>
    <w:rsid w:val="00614406"/>
    <w:rsid w:val="006151E8"/>
    <w:rsid w:val="00616B99"/>
    <w:rsid w:val="00617873"/>
    <w:rsid w:val="00617C11"/>
    <w:rsid w:val="006221C4"/>
    <w:rsid w:val="00625937"/>
    <w:rsid w:val="00626DEE"/>
    <w:rsid w:val="006314C9"/>
    <w:rsid w:val="006331C4"/>
    <w:rsid w:val="00634CB4"/>
    <w:rsid w:val="006357EC"/>
    <w:rsid w:val="006359FD"/>
    <w:rsid w:val="006371BB"/>
    <w:rsid w:val="00637FE3"/>
    <w:rsid w:val="006411CD"/>
    <w:rsid w:val="0065036A"/>
    <w:rsid w:val="00651887"/>
    <w:rsid w:val="00652631"/>
    <w:rsid w:val="00653035"/>
    <w:rsid w:val="00656EFB"/>
    <w:rsid w:val="00660564"/>
    <w:rsid w:val="00664406"/>
    <w:rsid w:val="00665C1B"/>
    <w:rsid w:val="006705F2"/>
    <w:rsid w:val="00670B38"/>
    <w:rsid w:val="00674557"/>
    <w:rsid w:val="00675582"/>
    <w:rsid w:val="006802C1"/>
    <w:rsid w:val="00680CEC"/>
    <w:rsid w:val="0068398C"/>
    <w:rsid w:val="0068440B"/>
    <w:rsid w:val="0069026A"/>
    <w:rsid w:val="00694D41"/>
    <w:rsid w:val="00694E37"/>
    <w:rsid w:val="006A1673"/>
    <w:rsid w:val="006A1D1C"/>
    <w:rsid w:val="006A21B4"/>
    <w:rsid w:val="006A43D8"/>
    <w:rsid w:val="006A4A36"/>
    <w:rsid w:val="006B22BE"/>
    <w:rsid w:val="006B77CA"/>
    <w:rsid w:val="006C4893"/>
    <w:rsid w:val="006C5173"/>
    <w:rsid w:val="006C7D01"/>
    <w:rsid w:val="006D3C63"/>
    <w:rsid w:val="006D4218"/>
    <w:rsid w:val="006D4482"/>
    <w:rsid w:val="006D478D"/>
    <w:rsid w:val="006D627F"/>
    <w:rsid w:val="006D636C"/>
    <w:rsid w:val="006D6B7B"/>
    <w:rsid w:val="006E0178"/>
    <w:rsid w:val="006E088C"/>
    <w:rsid w:val="006E2AF8"/>
    <w:rsid w:val="006E5796"/>
    <w:rsid w:val="006E5C0A"/>
    <w:rsid w:val="006E7AE5"/>
    <w:rsid w:val="006F2F58"/>
    <w:rsid w:val="007031D5"/>
    <w:rsid w:val="00710E53"/>
    <w:rsid w:val="007133E0"/>
    <w:rsid w:val="007134CC"/>
    <w:rsid w:val="00717E19"/>
    <w:rsid w:val="00722796"/>
    <w:rsid w:val="007231FC"/>
    <w:rsid w:val="00725D26"/>
    <w:rsid w:val="00725E2E"/>
    <w:rsid w:val="00727E16"/>
    <w:rsid w:val="007315E1"/>
    <w:rsid w:val="007320D9"/>
    <w:rsid w:val="007325D8"/>
    <w:rsid w:val="0073267E"/>
    <w:rsid w:val="00733141"/>
    <w:rsid w:val="00733534"/>
    <w:rsid w:val="007335F8"/>
    <w:rsid w:val="00735E52"/>
    <w:rsid w:val="0073607D"/>
    <w:rsid w:val="0073618E"/>
    <w:rsid w:val="007371D9"/>
    <w:rsid w:val="00743251"/>
    <w:rsid w:val="00744E5A"/>
    <w:rsid w:val="00745096"/>
    <w:rsid w:val="00751493"/>
    <w:rsid w:val="00754197"/>
    <w:rsid w:val="00756259"/>
    <w:rsid w:val="00757FF1"/>
    <w:rsid w:val="00761A64"/>
    <w:rsid w:val="007640D6"/>
    <w:rsid w:val="0076666A"/>
    <w:rsid w:val="007701B0"/>
    <w:rsid w:val="00774A20"/>
    <w:rsid w:val="00777176"/>
    <w:rsid w:val="00780500"/>
    <w:rsid w:val="007826D5"/>
    <w:rsid w:val="007853C1"/>
    <w:rsid w:val="00792165"/>
    <w:rsid w:val="00795476"/>
    <w:rsid w:val="007A4F04"/>
    <w:rsid w:val="007A5D96"/>
    <w:rsid w:val="007A723B"/>
    <w:rsid w:val="007A73D2"/>
    <w:rsid w:val="007A7575"/>
    <w:rsid w:val="007B4E4F"/>
    <w:rsid w:val="007B5E25"/>
    <w:rsid w:val="007C1678"/>
    <w:rsid w:val="007C5006"/>
    <w:rsid w:val="007C7EB5"/>
    <w:rsid w:val="007D2D10"/>
    <w:rsid w:val="007E4BB5"/>
    <w:rsid w:val="007E5FFC"/>
    <w:rsid w:val="007F02AD"/>
    <w:rsid w:val="007F3773"/>
    <w:rsid w:val="007F428B"/>
    <w:rsid w:val="007F6807"/>
    <w:rsid w:val="00802C96"/>
    <w:rsid w:val="00804A8F"/>
    <w:rsid w:val="008066B6"/>
    <w:rsid w:val="008077C1"/>
    <w:rsid w:val="008125EA"/>
    <w:rsid w:val="00812C1E"/>
    <w:rsid w:val="00813F1D"/>
    <w:rsid w:val="008207E6"/>
    <w:rsid w:val="008231E1"/>
    <w:rsid w:val="008235C9"/>
    <w:rsid w:val="00823B91"/>
    <w:rsid w:val="0082416F"/>
    <w:rsid w:val="00824EC2"/>
    <w:rsid w:val="00825919"/>
    <w:rsid w:val="00825DF9"/>
    <w:rsid w:val="00826CA3"/>
    <w:rsid w:val="00827530"/>
    <w:rsid w:val="00833CC2"/>
    <w:rsid w:val="00835A2B"/>
    <w:rsid w:val="00836092"/>
    <w:rsid w:val="00836284"/>
    <w:rsid w:val="0084308B"/>
    <w:rsid w:val="00843651"/>
    <w:rsid w:val="008451E8"/>
    <w:rsid w:val="00845C49"/>
    <w:rsid w:val="00855FE4"/>
    <w:rsid w:val="0086024B"/>
    <w:rsid w:val="0086675B"/>
    <w:rsid w:val="00871304"/>
    <w:rsid w:val="008720F4"/>
    <w:rsid w:val="00872A40"/>
    <w:rsid w:val="00881CEC"/>
    <w:rsid w:val="008840BC"/>
    <w:rsid w:val="00884C40"/>
    <w:rsid w:val="00885F07"/>
    <w:rsid w:val="00886256"/>
    <w:rsid w:val="00886CD9"/>
    <w:rsid w:val="00887D59"/>
    <w:rsid w:val="00894FD7"/>
    <w:rsid w:val="008955F8"/>
    <w:rsid w:val="008971E7"/>
    <w:rsid w:val="008A1ADE"/>
    <w:rsid w:val="008A23A4"/>
    <w:rsid w:val="008A2FED"/>
    <w:rsid w:val="008A5153"/>
    <w:rsid w:val="008A69E2"/>
    <w:rsid w:val="008B0CCC"/>
    <w:rsid w:val="008B2E92"/>
    <w:rsid w:val="008B5038"/>
    <w:rsid w:val="008B7993"/>
    <w:rsid w:val="008C01FA"/>
    <w:rsid w:val="008C26D6"/>
    <w:rsid w:val="008C49EB"/>
    <w:rsid w:val="008C776B"/>
    <w:rsid w:val="008D1B4B"/>
    <w:rsid w:val="008D443E"/>
    <w:rsid w:val="008D4EA8"/>
    <w:rsid w:val="008E3E9D"/>
    <w:rsid w:val="008E453D"/>
    <w:rsid w:val="008E5952"/>
    <w:rsid w:val="008E74C9"/>
    <w:rsid w:val="008F4B28"/>
    <w:rsid w:val="008F5218"/>
    <w:rsid w:val="008F55B0"/>
    <w:rsid w:val="009012EB"/>
    <w:rsid w:val="00903100"/>
    <w:rsid w:val="009033A1"/>
    <w:rsid w:val="00903F73"/>
    <w:rsid w:val="00904FCF"/>
    <w:rsid w:val="009070E0"/>
    <w:rsid w:val="00913AAA"/>
    <w:rsid w:val="00914848"/>
    <w:rsid w:val="0091534B"/>
    <w:rsid w:val="009156D8"/>
    <w:rsid w:val="00915CB9"/>
    <w:rsid w:val="009166E1"/>
    <w:rsid w:val="00920732"/>
    <w:rsid w:val="0092126A"/>
    <w:rsid w:val="00921FDC"/>
    <w:rsid w:val="00930C3E"/>
    <w:rsid w:val="00932002"/>
    <w:rsid w:val="00933122"/>
    <w:rsid w:val="009408FD"/>
    <w:rsid w:val="00941F7D"/>
    <w:rsid w:val="00942C1A"/>
    <w:rsid w:val="009436E6"/>
    <w:rsid w:val="009439FF"/>
    <w:rsid w:val="00945490"/>
    <w:rsid w:val="0094753C"/>
    <w:rsid w:val="00953866"/>
    <w:rsid w:val="009555C8"/>
    <w:rsid w:val="00956A3A"/>
    <w:rsid w:val="009573BC"/>
    <w:rsid w:val="00957CB8"/>
    <w:rsid w:val="009607A0"/>
    <w:rsid w:val="00962683"/>
    <w:rsid w:val="00962ACE"/>
    <w:rsid w:val="009647D8"/>
    <w:rsid w:val="0097012C"/>
    <w:rsid w:val="00971F20"/>
    <w:rsid w:val="00973ABB"/>
    <w:rsid w:val="009778CD"/>
    <w:rsid w:val="009808C3"/>
    <w:rsid w:val="0098429D"/>
    <w:rsid w:val="009877C3"/>
    <w:rsid w:val="0098789F"/>
    <w:rsid w:val="00991996"/>
    <w:rsid w:val="00992181"/>
    <w:rsid w:val="00992CED"/>
    <w:rsid w:val="00993B64"/>
    <w:rsid w:val="00994A47"/>
    <w:rsid w:val="00996A39"/>
    <w:rsid w:val="009974C0"/>
    <w:rsid w:val="009B07F6"/>
    <w:rsid w:val="009B3C7E"/>
    <w:rsid w:val="009B409C"/>
    <w:rsid w:val="009B51F5"/>
    <w:rsid w:val="009B535F"/>
    <w:rsid w:val="009C208F"/>
    <w:rsid w:val="009C3202"/>
    <w:rsid w:val="009C600A"/>
    <w:rsid w:val="009C7E2F"/>
    <w:rsid w:val="009D048E"/>
    <w:rsid w:val="009D415B"/>
    <w:rsid w:val="009D7722"/>
    <w:rsid w:val="009E1477"/>
    <w:rsid w:val="009E3570"/>
    <w:rsid w:val="009E7C92"/>
    <w:rsid w:val="009F1578"/>
    <w:rsid w:val="009F24F2"/>
    <w:rsid w:val="009F42DE"/>
    <w:rsid w:val="009F764A"/>
    <w:rsid w:val="009F7E87"/>
    <w:rsid w:val="00A019C3"/>
    <w:rsid w:val="00A01FD9"/>
    <w:rsid w:val="00A0361B"/>
    <w:rsid w:val="00A03626"/>
    <w:rsid w:val="00A05A1E"/>
    <w:rsid w:val="00A10B81"/>
    <w:rsid w:val="00A115B2"/>
    <w:rsid w:val="00A11A68"/>
    <w:rsid w:val="00A125FD"/>
    <w:rsid w:val="00A126C0"/>
    <w:rsid w:val="00A1277C"/>
    <w:rsid w:val="00A12C47"/>
    <w:rsid w:val="00A12FFF"/>
    <w:rsid w:val="00A13EF5"/>
    <w:rsid w:val="00A1494C"/>
    <w:rsid w:val="00A1536E"/>
    <w:rsid w:val="00A203C6"/>
    <w:rsid w:val="00A225AF"/>
    <w:rsid w:val="00A26892"/>
    <w:rsid w:val="00A36853"/>
    <w:rsid w:val="00A37D40"/>
    <w:rsid w:val="00A4019F"/>
    <w:rsid w:val="00A42F68"/>
    <w:rsid w:val="00A45974"/>
    <w:rsid w:val="00A45E87"/>
    <w:rsid w:val="00A46D93"/>
    <w:rsid w:val="00A4704B"/>
    <w:rsid w:val="00A57251"/>
    <w:rsid w:val="00A6404C"/>
    <w:rsid w:val="00A65243"/>
    <w:rsid w:val="00A6650C"/>
    <w:rsid w:val="00A70011"/>
    <w:rsid w:val="00A72EC1"/>
    <w:rsid w:val="00A75060"/>
    <w:rsid w:val="00A77134"/>
    <w:rsid w:val="00A8017C"/>
    <w:rsid w:val="00A8101A"/>
    <w:rsid w:val="00A817F3"/>
    <w:rsid w:val="00A82497"/>
    <w:rsid w:val="00A83125"/>
    <w:rsid w:val="00A84787"/>
    <w:rsid w:val="00A86E1B"/>
    <w:rsid w:val="00A8715C"/>
    <w:rsid w:val="00A916E8"/>
    <w:rsid w:val="00AA342D"/>
    <w:rsid w:val="00AA7333"/>
    <w:rsid w:val="00AB0BDF"/>
    <w:rsid w:val="00AB1863"/>
    <w:rsid w:val="00AB1E5D"/>
    <w:rsid w:val="00AB3156"/>
    <w:rsid w:val="00AB53A4"/>
    <w:rsid w:val="00AC0110"/>
    <w:rsid w:val="00AC2444"/>
    <w:rsid w:val="00AC31CC"/>
    <w:rsid w:val="00AC490E"/>
    <w:rsid w:val="00AC5973"/>
    <w:rsid w:val="00AC5A7E"/>
    <w:rsid w:val="00AC743F"/>
    <w:rsid w:val="00AD2CA8"/>
    <w:rsid w:val="00AD4277"/>
    <w:rsid w:val="00AD5557"/>
    <w:rsid w:val="00AD6404"/>
    <w:rsid w:val="00AD707E"/>
    <w:rsid w:val="00AE0B4B"/>
    <w:rsid w:val="00AE1344"/>
    <w:rsid w:val="00AE16DC"/>
    <w:rsid w:val="00AE5686"/>
    <w:rsid w:val="00AE57A3"/>
    <w:rsid w:val="00AF6B63"/>
    <w:rsid w:val="00AF6C55"/>
    <w:rsid w:val="00B0226F"/>
    <w:rsid w:val="00B037DD"/>
    <w:rsid w:val="00B04DE1"/>
    <w:rsid w:val="00B0760C"/>
    <w:rsid w:val="00B1662F"/>
    <w:rsid w:val="00B17398"/>
    <w:rsid w:val="00B17CB5"/>
    <w:rsid w:val="00B22438"/>
    <w:rsid w:val="00B233DE"/>
    <w:rsid w:val="00B23EFB"/>
    <w:rsid w:val="00B262FB"/>
    <w:rsid w:val="00B301B9"/>
    <w:rsid w:val="00B35522"/>
    <w:rsid w:val="00B36ED6"/>
    <w:rsid w:val="00B37866"/>
    <w:rsid w:val="00B40E66"/>
    <w:rsid w:val="00B44078"/>
    <w:rsid w:val="00B44F65"/>
    <w:rsid w:val="00B517CE"/>
    <w:rsid w:val="00B5559C"/>
    <w:rsid w:val="00B56A7C"/>
    <w:rsid w:val="00B60EEA"/>
    <w:rsid w:val="00B64DF3"/>
    <w:rsid w:val="00B659E5"/>
    <w:rsid w:val="00B70D41"/>
    <w:rsid w:val="00B72181"/>
    <w:rsid w:val="00B7417B"/>
    <w:rsid w:val="00B765C9"/>
    <w:rsid w:val="00B77CA7"/>
    <w:rsid w:val="00B82572"/>
    <w:rsid w:val="00B86245"/>
    <w:rsid w:val="00B90389"/>
    <w:rsid w:val="00B92A52"/>
    <w:rsid w:val="00B95E35"/>
    <w:rsid w:val="00B97067"/>
    <w:rsid w:val="00B9719E"/>
    <w:rsid w:val="00BA073A"/>
    <w:rsid w:val="00BA1372"/>
    <w:rsid w:val="00BA3763"/>
    <w:rsid w:val="00BA4660"/>
    <w:rsid w:val="00BA502A"/>
    <w:rsid w:val="00BB1A67"/>
    <w:rsid w:val="00BB395A"/>
    <w:rsid w:val="00BB3C74"/>
    <w:rsid w:val="00BB483B"/>
    <w:rsid w:val="00BB6826"/>
    <w:rsid w:val="00BC1F6B"/>
    <w:rsid w:val="00BC40E7"/>
    <w:rsid w:val="00BD0E6B"/>
    <w:rsid w:val="00BD3323"/>
    <w:rsid w:val="00BD444A"/>
    <w:rsid w:val="00BD4B95"/>
    <w:rsid w:val="00BD7181"/>
    <w:rsid w:val="00BD76A9"/>
    <w:rsid w:val="00BE2575"/>
    <w:rsid w:val="00BE4D69"/>
    <w:rsid w:val="00BE55EB"/>
    <w:rsid w:val="00BE5A44"/>
    <w:rsid w:val="00BE65B3"/>
    <w:rsid w:val="00BF2437"/>
    <w:rsid w:val="00BF2F2C"/>
    <w:rsid w:val="00BF7510"/>
    <w:rsid w:val="00BF7F97"/>
    <w:rsid w:val="00C00D88"/>
    <w:rsid w:val="00C00E5A"/>
    <w:rsid w:val="00C014F1"/>
    <w:rsid w:val="00C01DDE"/>
    <w:rsid w:val="00C01FF3"/>
    <w:rsid w:val="00C049E5"/>
    <w:rsid w:val="00C07B70"/>
    <w:rsid w:val="00C10233"/>
    <w:rsid w:val="00C11EBB"/>
    <w:rsid w:val="00C11EBD"/>
    <w:rsid w:val="00C14B6A"/>
    <w:rsid w:val="00C16B08"/>
    <w:rsid w:val="00C20C12"/>
    <w:rsid w:val="00C311C6"/>
    <w:rsid w:val="00C33823"/>
    <w:rsid w:val="00C33D7B"/>
    <w:rsid w:val="00C41475"/>
    <w:rsid w:val="00C41A9F"/>
    <w:rsid w:val="00C422E3"/>
    <w:rsid w:val="00C4355F"/>
    <w:rsid w:val="00C44C35"/>
    <w:rsid w:val="00C5204B"/>
    <w:rsid w:val="00C54D25"/>
    <w:rsid w:val="00C551D2"/>
    <w:rsid w:val="00C62AA1"/>
    <w:rsid w:val="00C633C9"/>
    <w:rsid w:val="00C63A31"/>
    <w:rsid w:val="00C63A5D"/>
    <w:rsid w:val="00C63B19"/>
    <w:rsid w:val="00C6508E"/>
    <w:rsid w:val="00C652C6"/>
    <w:rsid w:val="00C65339"/>
    <w:rsid w:val="00C66A2E"/>
    <w:rsid w:val="00C70DAA"/>
    <w:rsid w:val="00C71DE9"/>
    <w:rsid w:val="00C75E44"/>
    <w:rsid w:val="00C80107"/>
    <w:rsid w:val="00C80531"/>
    <w:rsid w:val="00C80E7D"/>
    <w:rsid w:val="00C80FA8"/>
    <w:rsid w:val="00C821B6"/>
    <w:rsid w:val="00C875BA"/>
    <w:rsid w:val="00C876A6"/>
    <w:rsid w:val="00C9301F"/>
    <w:rsid w:val="00C93C3F"/>
    <w:rsid w:val="00C94C7D"/>
    <w:rsid w:val="00C950AE"/>
    <w:rsid w:val="00CA3E29"/>
    <w:rsid w:val="00CA400A"/>
    <w:rsid w:val="00CB63D9"/>
    <w:rsid w:val="00CC0581"/>
    <w:rsid w:val="00CC6A93"/>
    <w:rsid w:val="00CD1E22"/>
    <w:rsid w:val="00CD2BBA"/>
    <w:rsid w:val="00CD3581"/>
    <w:rsid w:val="00CD3FF0"/>
    <w:rsid w:val="00CD5394"/>
    <w:rsid w:val="00CE5817"/>
    <w:rsid w:val="00CF412E"/>
    <w:rsid w:val="00CF4C94"/>
    <w:rsid w:val="00CF5824"/>
    <w:rsid w:val="00CF62E1"/>
    <w:rsid w:val="00D009F8"/>
    <w:rsid w:val="00D0207E"/>
    <w:rsid w:val="00D026C2"/>
    <w:rsid w:val="00D03810"/>
    <w:rsid w:val="00D044AC"/>
    <w:rsid w:val="00D056FA"/>
    <w:rsid w:val="00D07506"/>
    <w:rsid w:val="00D10209"/>
    <w:rsid w:val="00D11921"/>
    <w:rsid w:val="00D128B6"/>
    <w:rsid w:val="00D14169"/>
    <w:rsid w:val="00D14810"/>
    <w:rsid w:val="00D17530"/>
    <w:rsid w:val="00D25000"/>
    <w:rsid w:val="00D302A0"/>
    <w:rsid w:val="00D3068E"/>
    <w:rsid w:val="00D3135D"/>
    <w:rsid w:val="00D31893"/>
    <w:rsid w:val="00D3238F"/>
    <w:rsid w:val="00D3367F"/>
    <w:rsid w:val="00D338AE"/>
    <w:rsid w:val="00D35882"/>
    <w:rsid w:val="00D35FF6"/>
    <w:rsid w:val="00D4268B"/>
    <w:rsid w:val="00D450EA"/>
    <w:rsid w:val="00D451D8"/>
    <w:rsid w:val="00D5065E"/>
    <w:rsid w:val="00D50693"/>
    <w:rsid w:val="00D51B04"/>
    <w:rsid w:val="00D52260"/>
    <w:rsid w:val="00D55E02"/>
    <w:rsid w:val="00D6151C"/>
    <w:rsid w:val="00D61DB5"/>
    <w:rsid w:val="00D62374"/>
    <w:rsid w:val="00D64029"/>
    <w:rsid w:val="00D64A5B"/>
    <w:rsid w:val="00D70107"/>
    <w:rsid w:val="00D7060F"/>
    <w:rsid w:val="00D714BC"/>
    <w:rsid w:val="00D72AD3"/>
    <w:rsid w:val="00D7386E"/>
    <w:rsid w:val="00D80863"/>
    <w:rsid w:val="00D811A5"/>
    <w:rsid w:val="00D82C69"/>
    <w:rsid w:val="00D960B9"/>
    <w:rsid w:val="00D961BA"/>
    <w:rsid w:val="00DA3BCD"/>
    <w:rsid w:val="00DB32AD"/>
    <w:rsid w:val="00DB66E4"/>
    <w:rsid w:val="00DB7E86"/>
    <w:rsid w:val="00DC1174"/>
    <w:rsid w:val="00DC53D2"/>
    <w:rsid w:val="00DC565D"/>
    <w:rsid w:val="00DC6015"/>
    <w:rsid w:val="00DC63DD"/>
    <w:rsid w:val="00DC7755"/>
    <w:rsid w:val="00DD11EC"/>
    <w:rsid w:val="00DD1270"/>
    <w:rsid w:val="00DD4A5C"/>
    <w:rsid w:val="00DE0108"/>
    <w:rsid w:val="00DE293F"/>
    <w:rsid w:val="00DE362A"/>
    <w:rsid w:val="00DE4A14"/>
    <w:rsid w:val="00DE4C7C"/>
    <w:rsid w:val="00DE64DA"/>
    <w:rsid w:val="00DF0B10"/>
    <w:rsid w:val="00DF1922"/>
    <w:rsid w:val="00E03B71"/>
    <w:rsid w:val="00E073FC"/>
    <w:rsid w:val="00E13EA0"/>
    <w:rsid w:val="00E255D8"/>
    <w:rsid w:val="00E327E9"/>
    <w:rsid w:val="00E333A4"/>
    <w:rsid w:val="00E37E26"/>
    <w:rsid w:val="00E40799"/>
    <w:rsid w:val="00E41458"/>
    <w:rsid w:val="00E42257"/>
    <w:rsid w:val="00E42547"/>
    <w:rsid w:val="00E43252"/>
    <w:rsid w:val="00E43E2B"/>
    <w:rsid w:val="00E460AB"/>
    <w:rsid w:val="00E549D3"/>
    <w:rsid w:val="00E556A6"/>
    <w:rsid w:val="00E60A41"/>
    <w:rsid w:val="00E61B26"/>
    <w:rsid w:val="00E61E7F"/>
    <w:rsid w:val="00E62366"/>
    <w:rsid w:val="00E62C26"/>
    <w:rsid w:val="00E63E1E"/>
    <w:rsid w:val="00E7130B"/>
    <w:rsid w:val="00E7190A"/>
    <w:rsid w:val="00E73FC8"/>
    <w:rsid w:val="00E75393"/>
    <w:rsid w:val="00E75ABF"/>
    <w:rsid w:val="00E7776E"/>
    <w:rsid w:val="00E854A1"/>
    <w:rsid w:val="00E85F6C"/>
    <w:rsid w:val="00E8616C"/>
    <w:rsid w:val="00E901F3"/>
    <w:rsid w:val="00E92030"/>
    <w:rsid w:val="00E9390C"/>
    <w:rsid w:val="00E94FB1"/>
    <w:rsid w:val="00E967F2"/>
    <w:rsid w:val="00EA0010"/>
    <w:rsid w:val="00EA0FC0"/>
    <w:rsid w:val="00EA1265"/>
    <w:rsid w:val="00EB09FD"/>
    <w:rsid w:val="00EB2595"/>
    <w:rsid w:val="00EB5813"/>
    <w:rsid w:val="00EB5B60"/>
    <w:rsid w:val="00EB6A80"/>
    <w:rsid w:val="00EB6C8D"/>
    <w:rsid w:val="00EC4892"/>
    <w:rsid w:val="00ED029A"/>
    <w:rsid w:val="00ED03B7"/>
    <w:rsid w:val="00ED04B8"/>
    <w:rsid w:val="00ED1D82"/>
    <w:rsid w:val="00ED27CE"/>
    <w:rsid w:val="00ED37B5"/>
    <w:rsid w:val="00ED5E07"/>
    <w:rsid w:val="00ED68CB"/>
    <w:rsid w:val="00ED7A70"/>
    <w:rsid w:val="00ED7C45"/>
    <w:rsid w:val="00EE1FAA"/>
    <w:rsid w:val="00EE413D"/>
    <w:rsid w:val="00EE4CFE"/>
    <w:rsid w:val="00EE4F07"/>
    <w:rsid w:val="00EF10F6"/>
    <w:rsid w:val="00EF1837"/>
    <w:rsid w:val="00EF2966"/>
    <w:rsid w:val="00EF3C35"/>
    <w:rsid w:val="00EF5849"/>
    <w:rsid w:val="00EF742C"/>
    <w:rsid w:val="00EF77C1"/>
    <w:rsid w:val="00F005BE"/>
    <w:rsid w:val="00F034FF"/>
    <w:rsid w:val="00F03AFD"/>
    <w:rsid w:val="00F0403C"/>
    <w:rsid w:val="00F04B96"/>
    <w:rsid w:val="00F05844"/>
    <w:rsid w:val="00F06642"/>
    <w:rsid w:val="00F07BF5"/>
    <w:rsid w:val="00F11AEE"/>
    <w:rsid w:val="00F12549"/>
    <w:rsid w:val="00F12F43"/>
    <w:rsid w:val="00F15129"/>
    <w:rsid w:val="00F169AC"/>
    <w:rsid w:val="00F22639"/>
    <w:rsid w:val="00F22B30"/>
    <w:rsid w:val="00F22F15"/>
    <w:rsid w:val="00F25B2A"/>
    <w:rsid w:val="00F3005E"/>
    <w:rsid w:val="00F3008B"/>
    <w:rsid w:val="00F309DE"/>
    <w:rsid w:val="00F30E55"/>
    <w:rsid w:val="00F31F23"/>
    <w:rsid w:val="00F3446B"/>
    <w:rsid w:val="00F35115"/>
    <w:rsid w:val="00F37B52"/>
    <w:rsid w:val="00F45541"/>
    <w:rsid w:val="00F5019B"/>
    <w:rsid w:val="00F503FB"/>
    <w:rsid w:val="00F509F9"/>
    <w:rsid w:val="00F53330"/>
    <w:rsid w:val="00F5517F"/>
    <w:rsid w:val="00F55725"/>
    <w:rsid w:val="00F55850"/>
    <w:rsid w:val="00F562AA"/>
    <w:rsid w:val="00F56D82"/>
    <w:rsid w:val="00F56E8B"/>
    <w:rsid w:val="00F60199"/>
    <w:rsid w:val="00F61208"/>
    <w:rsid w:val="00F61B94"/>
    <w:rsid w:val="00F6407F"/>
    <w:rsid w:val="00F64B84"/>
    <w:rsid w:val="00F64C42"/>
    <w:rsid w:val="00F65CAA"/>
    <w:rsid w:val="00F65F36"/>
    <w:rsid w:val="00F70B22"/>
    <w:rsid w:val="00F70FC2"/>
    <w:rsid w:val="00F71A99"/>
    <w:rsid w:val="00F73CCF"/>
    <w:rsid w:val="00F7751A"/>
    <w:rsid w:val="00F9065B"/>
    <w:rsid w:val="00F91D22"/>
    <w:rsid w:val="00F93DB5"/>
    <w:rsid w:val="00F96617"/>
    <w:rsid w:val="00F97777"/>
    <w:rsid w:val="00F97D10"/>
    <w:rsid w:val="00FA2CEE"/>
    <w:rsid w:val="00FA2EB3"/>
    <w:rsid w:val="00FA680D"/>
    <w:rsid w:val="00FA6833"/>
    <w:rsid w:val="00FB3A6E"/>
    <w:rsid w:val="00FB4FEF"/>
    <w:rsid w:val="00FC2D19"/>
    <w:rsid w:val="00FC40D2"/>
    <w:rsid w:val="00FD398C"/>
    <w:rsid w:val="00FD3FC0"/>
    <w:rsid w:val="00FD621A"/>
    <w:rsid w:val="00FD62A4"/>
    <w:rsid w:val="00FE3CB1"/>
    <w:rsid w:val="00FE4DE3"/>
    <w:rsid w:val="00FF30F6"/>
    <w:rsid w:val="014E455E"/>
    <w:rsid w:val="018D0F17"/>
    <w:rsid w:val="01AC16B9"/>
    <w:rsid w:val="01C33426"/>
    <w:rsid w:val="01D34AC7"/>
    <w:rsid w:val="0223579A"/>
    <w:rsid w:val="02357FE5"/>
    <w:rsid w:val="02647ECA"/>
    <w:rsid w:val="03237D85"/>
    <w:rsid w:val="0333214F"/>
    <w:rsid w:val="03A56279"/>
    <w:rsid w:val="03AA5DB1"/>
    <w:rsid w:val="04253689"/>
    <w:rsid w:val="044827BC"/>
    <w:rsid w:val="04540896"/>
    <w:rsid w:val="04695C6C"/>
    <w:rsid w:val="047C66AE"/>
    <w:rsid w:val="04812FB5"/>
    <w:rsid w:val="04BC3FEE"/>
    <w:rsid w:val="054B35C3"/>
    <w:rsid w:val="054C3DC9"/>
    <w:rsid w:val="056401E1"/>
    <w:rsid w:val="056D52E8"/>
    <w:rsid w:val="05704DD8"/>
    <w:rsid w:val="05761F9D"/>
    <w:rsid w:val="05DB66F5"/>
    <w:rsid w:val="06481D1A"/>
    <w:rsid w:val="068D4577"/>
    <w:rsid w:val="068E5516"/>
    <w:rsid w:val="06EB560A"/>
    <w:rsid w:val="07035F04"/>
    <w:rsid w:val="07097292"/>
    <w:rsid w:val="071F2612"/>
    <w:rsid w:val="07317CD6"/>
    <w:rsid w:val="073C31C4"/>
    <w:rsid w:val="074B1659"/>
    <w:rsid w:val="076444C8"/>
    <w:rsid w:val="07691ADF"/>
    <w:rsid w:val="07893F2F"/>
    <w:rsid w:val="08955281"/>
    <w:rsid w:val="092D370C"/>
    <w:rsid w:val="09540C99"/>
    <w:rsid w:val="095E3DDE"/>
    <w:rsid w:val="09645F3F"/>
    <w:rsid w:val="099512B1"/>
    <w:rsid w:val="09A82D92"/>
    <w:rsid w:val="09C86F91"/>
    <w:rsid w:val="09F14739"/>
    <w:rsid w:val="0A23066B"/>
    <w:rsid w:val="0A410AF1"/>
    <w:rsid w:val="0A6A44EC"/>
    <w:rsid w:val="0A8A2498"/>
    <w:rsid w:val="0B0B1CD7"/>
    <w:rsid w:val="0B1F343C"/>
    <w:rsid w:val="0B2C15EF"/>
    <w:rsid w:val="0B9A0C51"/>
    <w:rsid w:val="0B9F3D21"/>
    <w:rsid w:val="0BC32105"/>
    <w:rsid w:val="0BCA5D9B"/>
    <w:rsid w:val="0BD7170D"/>
    <w:rsid w:val="0C1055C4"/>
    <w:rsid w:val="0C2D186C"/>
    <w:rsid w:val="0C2E40B0"/>
    <w:rsid w:val="0C443FA3"/>
    <w:rsid w:val="0CBD06F8"/>
    <w:rsid w:val="0CD93263"/>
    <w:rsid w:val="0CDD0FA5"/>
    <w:rsid w:val="0CE33205"/>
    <w:rsid w:val="0D007B59"/>
    <w:rsid w:val="0D036C35"/>
    <w:rsid w:val="0D181FDD"/>
    <w:rsid w:val="0D7E08E0"/>
    <w:rsid w:val="0DBA2B4D"/>
    <w:rsid w:val="0DD759F4"/>
    <w:rsid w:val="0E4366B0"/>
    <w:rsid w:val="0E5232CD"/>
    <w:rsid w:val="0EE54141"/>
    <w:rsid w:val="0EEF3211"/>
    <w:rsid w:val="0F087A90"/>
    <w:rsid w:val="0F9B0D24"/>
    <w:rsid w:val="0FD115EF"/>
    <w:rsid w:val="101F18D4"/>
    <w:rsid w:val="104430E9"/>
    <w:rsid w:val="104D4694"/>
    <w:rsid w:val="10C123D9"/>
    <w:rsid w:val="11713562"/>
    <w:rsid w:val="12E50BB3"/>
    <w:rsid w:val="130A686C"/>
    <w:rsid w:val="132469CD"/>
    <w:rsid w:val="1324792E"/>
    <w:rsid w:val="134C478E"/>
    <w:rsid w:val="13506BAF"/>
    <w:rsid w:val="14060DE1"/>
    <w:rsid w:val="142B4CEC"/>
    <w:rsid w:val="14755F67"/>
    <w:rsid w:val="14DA11B3"/>
    <w:rsid w:val="150A2B53"/>
    <w:rsid w:val="151C4634"/>
    <w:rsid w:val="152139F9"/>
    <w:rsid w:val="154A2F50"/>
    <w:rsid w:val="156928D2"/>
    <w:rsid w:val="159A309F"/>
    <w:rsid w:val="15A01728"/>
    <w:rsid w:val="15D53161"/>
    <w:rsid w:val="15DD0268"/>
    <w:rsid w:val="15F14CC6"/>
    <w:rsid w:val="16243D50"/>
    <w:rsid w:val="167F131F"/>
    <w:rsid w:val="170C3043"/>
    <w:rsid w:val="17822E75"/>
    <w:rsid w:val="17BE19D3"/>
    <w:rsid w:val="17E31439"/>
    <w:rsid w:val="183710AD"/>
    <w:rsid w:val="189B3AC2"/>
    <w:rsid w:val="18CF62D0"/>
    <w:rsid w:val="18D747CA"/>
    <w:rsid w:val="18E5190D"/>
    <w:rsid w:val="19052F84"/>
    <w:rsid w:val="19193365"/>
    <w:rsid w:val="195F0AAC"/>
    <w:rsid w:val="19726F19"/>
    <w:rsid w:val="19806B8B"/>
    <w:rsid w:val="198A5789"/>
    <w:rsid w:val="198F7ACB"/>
    <w:rsid w:val="199B2BBE"/>
    <w:rsid w:val="19E86119"/>
    <w:rsid w:val="1A071979"/>
    <w:rsid w:val="1A9B205C"/>
    <w:rsid w:val="1AF776D6"/>
    <w:rsid w:val="1B1B2C84"/>
    <w:rsid w:val="1B4C5221"/>
    <w:rsid w:val="1B5E59A7"/>
    <w:rsid w:val="1B6D5BEA"/>
    <w:rsid w:val="1B851185"/>
    <w:rsid w:val="1B8A054A"/>
    <w:rsid w:val="1B925650"/>
    <w:rsid w:val="1BA3785E"/>
    <w:rsid w:val="1BC9004E"/>
    <w:rsid w:val="1BD31ED2"/>
    <w:rsid w:val="1C085913"/>
    <w:rsid w:val="1C525A3A"/>
    <w:rsid w:val="1C6D7B68"/>
    <w:rsid w:val="1D1D719C"/>
    <w:rsid w:val="1D5A2A82"/>
    <w:rsid w:val="1DDE6C50"/>
    <w:rsid w:val="1E581DD0"/>
    <w:rsid w:val="1E931DB8"/>
    <w:rsid w:val="1E934127"/>
    <w:rsid w:val="1EBD1673"/>
    <w:rsid w:val="1F883458"/>
    <w:rsid w:val="1FAB6CE1"/>
    <w:rsid w:val="1FED72F9"/>
    <w:rsid w:val="20564B78"/>
    <w:rsid w:val="209A3575"/>
    <w:rsid w:val="20CD34A4"/>
    <w:rsid w:val="210D3CC1"/>
    <w:rsid w:val="21361AB9"/>
    <w:rsid w:val="21A25EC1"/>
    <w:rsid w:val="21D249F9"/>
    <w:rsid w:val="21F20BF7"/>
    <w:rsid w:val="22D36C7A"/>
    <w:rsid w:val="22FA160E"/>
    <w:rsid w:val="22FB3ADB"/>
    <w:rsid w:val="232F685D"/>
    <w:rsid w:val="233174FD"/>
    <w:rsid w:val="23395957"/>
    <w:rsid w:val="233B65CE"/>
    <w:rsid w:val="239D4B92"/>
    <w:rsid w:val="23B51EDC"/>
    <w:rsid w:val="23F724F4"/>
    <w:rsid w:val="23FE1AD5"/>
    <w:rsid w:val="241A4E8B"/>
    <w:rsid w:val="24207C9D"/>
    <w:rsid w:val="246566F8"/>
    <w:rsid w:val="248B2649"/>
    <w:rsid w:val="2498264B"/>
    <w:rsid w:val="249E16FF"/>
    <w:rsid w:val="24D9609E"/>
    <w:rsid w:val="24DA1A42"/>
    <w:rsid w:val="24DD5B8E"/>
    <w:rsid w:val="250C1FD0"/>
    <w:rsid w:val="25115838"/>
    <w:rsid w:val="25270BB7"/>
    <w:rsid w:val="25290DD3"/>
    <w:rsid w:val="257A23D4"/>
    <w:rsid w:val="25B54415"/>
    <w:rsid w:val="25CE64B1"/>
    <w:rsid w:val="25F747AF"/>
    <w:rsid w:val="26413EFB"/>
    <w:rsid w:val="266A16A4"/>
    <w:rsid w:val="269C3827"/>
    <w:rsid w:val="26B04E1C"/>
    <w:rsid w:val="26B75F6B"/>
    <w:rsid w:val="26F471BF"/>
    <w:rsid w:val="26FB22FC"/>
    <w:rsid w:val="274F030F"/>
    <w:rsid w:val="27653C19"/>
    <w:rsid w:val="27736336"/>
    <w:rsid w:val="27FE0FEF"/>
    <w:rsid w:val="28026FB4"/>
    <w:rsid w:val="284101E2"/>
    <w:rsid w:val="288264C6"/>
    <w:rsid w:val="289F315B"/>
    <w:rsid w:val="28EC1992"/>
    <w:rsid w:val="293D6BFB"/>
    <w:rsid w:val="29DB4B5B"/>
    <w:rsid w:val="29E17ECF"/>
    <w:rsid w:val="29EC4B89"/>
    <w:rsid w:val="2A2D4EC2"/>
    <w:rsid w:val="2A5C7555"/>
    <w:rsid w:val="2A622692"/>
    <w:rsid w:val="2A697EC4"/>
    <w:rsid w:val="2AA1765E"/>
    <w:rsid w:val="2B057ADE"/>
    <w:rsid w:val="2B25203D"/>
    <w:rsid w:val="2B40539C"/>
    <w:rsid w:val="2B460886"/>
    <w:rsid w:val="2BD870AF"/>
    <w:rsid w:val="2BEF7F55"/>
    <w:rsid w:val="2C2045B2"/>
    <w:rsid w:val="2C2F3339"/>
    <w:rsid w:val="2CC80A91"/>
    <w:rsid w:val="2CC94C4A"/>
    <w:rsid w:val="2CE27401"/>
    <w:rsid w:val="2D0B0DBF"/>
    <w:rsid w:val="2D8017AD"/>
    <w:rsid w:val="2D8A6187"/>
    <w:rsid w:val="2DAA5620"/>
    <w:rsid w:val="2DB80F46"/>
    <w:rsid w:val="2DF9330D"/>
    <w:rsid w:val="2EC456C9"/>
    <w:rsid w:val="2F012479"/>
    <w:rsid w:val="2F0F103A"/>
    <w:rsid w:val="2F877D84"/>
    <w:rsid w:val="2F8A5B16"/>
    <w:rsid w:val="2FED1391"/>
    <w:rsid w:val="2FF26266"/>
    <w:rsid w:val="2FF86DC4"/>
    <w:rsid w:val="30074904"/>
    <w:rsid w:val="302B515F"/>
    <w:rsid w:val="30656A38"/>
    <w:rsid w:val="30703A47"/>
    <w:rsid w:val="307F3F9D"/>
    <w:rsid w:val="30BA6D84"/>
    <w:rsid w:val="310D20A5"/>
    <w:rsid w:val="31945827"/>
    <w:rsid w:val="31E213A2"/>
    <w:rsid w:val="31E30FF5"/>
    <w:rsid w:val="320B4F05"/>
    <w:rsid w:val="32317519"/>
    <w:rsid w:val="324678C2"/>
    <w:rsid w:val="324803BF"/>
    <w:rsid w:val="327411B4"/>
    <w:rsid w:val="328D12D9"/>
    <w:rsid w:val="32E8157B"/>
    <w:rsid w:val="32F81DE5"/>
    <w:rsid w:val="33065EFD"/>
    <w:rsid w:val="335A2AA0"/>
    <w:rsid w:val="335C05C6"/>
    <w:rsid w:val="336F654B"/>
    <w:rsid w:val="33B65F28"/>
    <w:rsid w:val="33E222C5"/>
    <w:rsid w:val="342F27ED"/>
    <w:rsid w:val="345E036E"/>
    <w:rsid w:val="3485313E"/>
    <w:rsid w:val="349A5478"/>
    <w:rsid w:val="34A42225"/>
    <w:rsid w:val="34BF2BBB"/>
    <w:rsid w:val="34C94326"/>
    <w:rsid w:val="34EC3C2E"/>
    <w:rsid w:val="353F1F4D"/>
    <w:rsid w:val="35430EEC"/>
    <w:rsid w:val="35AC3B58"/>
    <w:rsid w:val="35EF5171"/>
    <w:rsid w:val="36015455"/>
    <w:rsid w:val="360A0317"/>
    <w:rsid w:val="36513CE6"/>
    <w:rsid w:val="36785717"/>
    <w:rsid w:val="36CE17DB"/>
    <w:rsid w:val="37052D23"/>
    <w:rsid w:val="37614520"/>
    <w:rsid w:val="37735EDE"/>
    <w:rsid w:val="37970E74"/>
    <w:rsid w:val="37A87E1C"/>
    <w:rsid w:val="38262F51"/>
    <w:rsid w:val="38576F91"/>
    <w:rsid w:val="3861062B"/>
    <w:rsid w:val="38BF587F"/>
    <w:rsid w:val="390239BE"/>
    <w:rsid w:val="39096AFA"/>
    <w:rsid w:val="394A2C6F"/>
    <w:rsid w:val="3A00614F"/>
    <w:rsid w:val="3A4818A4"/>
    <w:rsid w:val="3A8F74D3"/>
    <w:rsid w:val="3AE47F1E"/>
    <w:rsid w:val="3AF15A98"/>
    <w:rsid w:val="3AF37A62"/>
    <w:rsid w:val="3B000022"/>
    <w:rsid w:val="3BE61375"/>
    <w:rsid w:val="3C0C409C"/>
    <w:rsid w:val="3C5207B8"/>
    <w:rsid w:val="3C6B3628"/>
    <w:rsid w:val="3C7626F9"/>
    <w:rsid w:val="3C964B49"/>
    <w:rsid w:val="3D0C4E0B"/>
    <w:rsid w:val="3DBD4357"/>
    <w:rsid w:val="3DF5764D"/>
    <w:rsid w:val="3E1A3557"/>
    <w:rsid w:val="3E9A01F4"/>
    <w:rsid w:val="3EB35031"/>
    <w:rsid w:val="3EDC080D"/>
    <w:rsid w:val="3F06588A"/>
    <w:rsid w:val="3F23468E"/>
    <w:rsid w:val="3F7448FC"/>
    <w:rsid w:val="3F966B9F"/>
    <w:rsid w:val="3FEA08FC"/>
    <w:rsid w:val="3FEB6F5A"/>
    <w:rsid w:val="400F606F"/>
    <w:rsid w:val="403A38E1"/>
    <w:rsid w:val="40662A84"/>
    <w:rsid w:val="409C46F8"/>
    <w:rsid w:val="40A27F80"/>
    <w:rsid w:val="40EA5463"/>
    <w:rsid w:val="410127AD"/>
    <w:rsid w:val="41540B2E"/>
    <w:rsid w:val="415C79E3"/>
    <w:rsid w:val="41A655BF"/>
    <w:rsid w:val="41BE4CC7"/>
    <w:rsid w:val="41D61543"/>
    <w:rsid w:val="42051E29"/>
    <w:rsid w:val="42240501"/>
    <w:rsid w:val="423C1CEE"/>
    <w:rsid w:val="42463094"/>
    <w:rsid w:val="427C534F"/>
    <w:rsid w:val="42B75819"/>
    <w:rsid w:val="42CE66BF"/>
    <w:rsid w:val="42F1211F"/>
    <w:rsid w:val="43476B9D"/>
    <w:rsid w:val="43505326"/>
    <w:rsid w:val="435C03C9"/>
    <w:rsid w:val="436A288B"/>
    <w:rsid w:val="43741014"/>
    <w:rsid w:val="43917E18"/>
    <w:rsid w:val="43A51B15"/>
    <w:rsid w:val="43BF7346"/>
    <w:rsid w:val="43CB67C0"/>
    <w:rsid w:val="43D81418"/>
    <w:rsid w:val="43E4263E"/>
    <w:rsid w:val="43F3462F"/>
    <w:rsid w:val="44103433"/>
    <w:rsid w:val="442742D8"/>
    <w:rsid w:val="444035EC"/>
    <w:rsid w:val="444143B6"/>
    <w:rsid w:val="444A101A"/>
    <w:rsid w:val="446758D6"/>
    <w:rsid w:val="44965297"/>
    <w:rsid w:val="44A8366B"/>
    <w:rsid w:val="44AF0444"/>
    <w:rsid w:val="44FA7C3F"/>
    <w:rsid w:val="4585575A"/>
    <w:rsid w:val="45891C00"/>
    <w:rsid w:val="45F23AC6"/>
    <w:rsid w:val="46205483"/>
    <w:rsid w:val="46C329DE"/>
    <w:rsid w:val="470D5A07"/>
    <w:rsid w:val="47961EA1"/>
    <w:rsid w:val="47B72674"/>
    <w:rsid w:val="47D1745E"/>
    <w:rsid w:val="47E21FD2"/>
    <w:rsid w:val="48345216"/>
    <w:rsid w:val="48CB6D26"/>
    <w:rsid w:val="49044BE8"/>
    <w:rsid w:val="490C1CEF"/>
    <w:rsid w:val="4928096E"/>
    <w:rsid w:val="49575660"/>
    <w:rsid w:val="496D6C31"/>
    <w:rsid w:val="49804BB7"/>
    <w:rsid w:val="4A037596"/>
    <w:rsid w:val="4A064990"/>
    <w:rsid w:val="4A565917"/>
    <w:rsid w:val="4A5751EC"/>
    <w:rsid w:val="4A6358AA"/>
    <w:rsid w:val="4AB94E64"/>
    <w:rsid w:val="4AE271AB"/>
    <w:rsid w:val="4AFD2237"/>
    <w:rsid w:val="4B0D06CC"/>
    <w:rsid w:val="4B4A38E1"/>
    <w:rsid w:val="4B8D5369"/>
    <w:rsid w:val="4C0D0258"/>
    <w:rsid w:val="4C4F35BC"/>
    <w:rsid w:val="4C65348A"/>
    <w:rsid w:val="4C7C0815"/>
    <w:rsid w:val="4CE865CF"/>
    <w:rsid w:val="4D9D560B"/>
    <w:rsid w:val="4DB316D4"/>
    <w:rsid w:val="4DCF5AD7"/>
    <w:rsid w:val="4DE374C2"/>
    <w:rsid w:val="4E0416AC"/>
    <w:rsid w:val="4E11738D"/>
    <w:rsid w:val="4E52289A"/>
    <w:rsid w:val="4E7A12CB"/>
    <w:rsid w:val="4E7C56A4"/>
    <w:rsid w:val="4E9E5ADF"/>
    <w:rsid w:val="4EAD34A6"/>
    <w:rsid w:val="4EAF3848"/>
    <w:rsid w:val="4ECD423E"/>
    <w:rsid w:val="4F0A4F22"/>
    <w:rsid w:val="4F1B43F6"/>
    <w:rsid w:val="4F4641AC"/>
    <w:rsid w:val="4F503008"/>
    <w:rsid w:val="4F7C7BCE"/>
    <w:rsid w:val="50265D8C"/>
    <w:rsid w:val="50616DC4"/>
    <w:rsid w:val="50772144"/>
    <w:rsid w:val="507C1E50"/>
    <w:rsid w:val="507C4335"/>
    <w:rsid w:val="508F1B83"/>
    <w:rsid w:val="50B415EA"/>
    <w:rsid w:val="50F10148"/>
    <w:rsid w:val="51DA0BDC"/>
    <w:rsid w:val="51F51BBA"/>
    <w:rsid w:val="521340EE"/>
    <w:rsid w:val="521C2FA3"/>
    <w:rsid w:val="523D6FB3"/>
    <w:rsid w:val="52DE5094"/>
    <w:rsid w:val="530E3233"/>
    <w:rsid w:val="53BE5113"/>
    <w:rsid w:val="53CC24B4"/>
    <w:rsid w:val="53E47AF0"/>
    <w:rsid w:val="53E773D8"/>
    <w:rsid w:val="54501629"/>
    <w:rsid w:val="54601EA0"/>
    <w:rsid w:val="546724CF"/>
    <w:rsid w:val="54682976"/>
    <w:rsid w:val="54773E1A"/>
    <w:rsid w:val="549A0AF6"/>
    <w:rsid w:val="54C16083"/>
    <w:rsid w:val="54D758A7"/>
    <w:rsid w:val="54EF2BF0"/>
    <w:rsid w:val="556F788D"/>
    <w:rsid w:val="55E464CD"/>
    <w:rsid w:val="55E55DA1"/>
    <w:rsid w:val="561A2735"/>
    <w:rsid w:val="563A7E9B"/>
    <w:rsid w:val="564B02FA"/>
    <w:rsid w:val="56B714EC"/>
    <w:rsid w:val="56F444EE"/>
    <w:rsid w:val="57566F57"/>
    <w:rsid w:val="57792C45"/>
    <w:rsid w:val="579932E7"/>
    <w:rsid w:val="57A92A8B"/>
    <w:rsid w:val="57C02622"/>
    <w:rsid w:val="57EE718F"/>
    <w:rsid w:val="58135265"/>
    <w:rsid w:val="584E41FE"/>
    <w:rsid w:val="58716676"/>
    <w:rsid w:val="58C07B42"/>
    <w:rsid w:val="58CE429C"/>
    <w:rsid w:val="58F22CAF"/>
    <w:rsid w:val="59023C1C"/>
    <w:rsid w:val="59396B30"/>
    <w:rsid w:val="59A33FA9"/>
    <w:rsid w:val="5A063515"/>
    <w:rsid w:val="5A1D0200"/>
    <w:rsid w:val="5A2F0DB8"/>
    <w:rsid w:val="5A5D05FC"/>
    <w:rsid w:val="5A8E2EAB"/>
    <w:rsid w:val="5B24111A"/>
    <w:rsid w:val="5B423D09"/>
    <w:rsid w:val="5B5F167B"/>
    <w:rsid w:val="5C3B2BBF"/>
    <w:rsid w:val="5C653798"/>
    <w:rsid w:val="5C77651D"/>
    <w:rsid w:val="5CDF0BAF"/>
    <w:rsid w:val="5D245401"/>
    <w:rsid w:val="5D246B17"/>
    <w:rsid w:val="5D677EDE"/>
    <w:rsid w:val="5D700646"/>
    <w:rsid w:val="5DAA158A"/>
    <w:rsid w:val="5DC22821"/>
    <w:rsid w:val="5DED6395"/>
    <w:rsid w:val="5E3B2A02"/>
    <w:rsid w:val="5E9345EC"/>
    <w:rsid w:val="5EE07779"/>
    <w:rsid w:val="5EE27322"/>
    <w:rsid w:val="5F021772"/>
    <w:rsid w:val="5F1576F7"/>
    <w:rsid w:val="5F230066"/>
    <w:rsid w:val="5F334021"/>
    <w:rsid w:val="5F52422B"/>
    <w:rsid w:val="5F920D48"/>
    <w:rsid w:val="5FC331F0"/>
    <w:rsid w:val="5FFC403D"/>
    <w:rsid w:val="60306FD3"/>
    <w:rsid w:val="60563B24"/>
    <w:rsid w:val="610B7004"/>
    <w:rsid w:val="61882D10"/>
    <w:rsid w:val="61963FB3"/>
    <w:rsid w:val="619958DF"/>
    <w:rsid w:val="61C2211F"/>
    <w:rsid w:val="61C40F61"/>
    <w:rsid w:val="620D2908"/>
    <w:rsid w:val="62210161"/>
    <w:rsid w:val="62570CDB"/>
    <w:rsid w:val="62AC2121"/>
    <w:rsid w:val="62D82F16"/>
    <w:rsid w:val="62DB47B4"/>
    <w:rsid w:val="63C179EF"/>
    <w:rsid w:val="63C65464"/>
    <w:rsid w:val="641A130C"/>
    <w:rsid w:val="64713622"/>
    <w:rsid w:val="64B435DF"/>
    <w:rsid w:val="651D5558"/>
    <w:rsid w:val="65724337"/>
    <w:rsid w:val="65D379C4"/>
    <w:rsid w:val="660A39DF"/>
    <w:rsid w:val="66161433"/>
    <w:rsid w:val="666D606B"/>
    <w:rsid w:val="66815672"/>
    <w:rsid w:val="66902CF8"/>
    <w:rsid w:val="66AF3F8D"/>
    <w:rsid w:val="66B54F00"/>
    <w:rsid w:val="66CA7EB9"/>
    <w:rsid w:val="68227FB0"/>
    <w:rsid w:val="6871789F"/>
    <w:rsid w:val="687C4343"/>
    <w:rsid w:val="687E630D"/>
    <w:rsid w:val="68931C39"/>
    <w:rsid w:val="689B4294"/>
    <w:rsid w:val="689F697B"/>
    <w:rsid w:val="68D56B96"/>
    <w:rsid w:val="68F55EA4"/>
    <w:rsid w:val="690600B1"/>
    <w:rsid w:val="69884D00"/>
    <w:rsid w:val="69AB3E1D"/>
    <w:rsid w:val="69F83E9D"/>
    <w:rsid w:val="6A043DD4"/>
    <w:rsid w:val="6A3E141E"/>
    <w:rsid w:val="6A536D57"/>
    <w:rsid w:val="6A884BFC"/>
    <w:rsid w:val="6A8F08C3"/>
    <w:rsid w:val="6AB336E0"/>
    <w:rsid w:val="6ABD22B6"/>
    <w:rsid w:val="6ACA6966"/>
    <w:rsid w:val="6AD871FE"/>
    <w:rsid w:val="6AE668C9"/>
    <w:rsid w:val="6AF64881"/>
    <w:rsid w:val="6B0B7C00"/>
    <w:rsid w:val="6B601F65"/>
    <w:rsid w:val="6B673089"/>
    <w:rsid w:val="6B9D2F4E"/>
    <w:rsid w:val="6BEF1470"/>
    <w:rsid w:val="6C2B67AC"/>
    <w:rsid w:val="6C7F2654"/>
    <w:rsid w:val="6C8C747A"/>
    <w:rsid w:val="6D1014FE"/>
    <w:rsid w:val="6D52102F"/>
    <w:rsid w:val="6D595AFC"/>
    <w:rsid w:val="6D7E46BA"/>
    <w:rsid w:val="6DE06A4F"/>
    <w:rsid w:val="6DFD1C3F"/>
    <w:rsid w:val="6E2C680B"/>
    <w:rsid w:val="6E7928C7"/>
    <w:rsid w:val="6E7C12C8"/>
    <w:rsid w:val="6EC922AC"/>
    <w:rsid w:val="6F886D6B"/>
    <w:rsid w:val="700E441B"/>
    <w:rsid w:val="70460245"/>
    <w:rsid w:val="70985276"/>
    <w:rsid w:val="70A02B99"/>
    <w:rsid w:val="71353C29"/>
    <w:rsid w:val="718304F0"/>
    <w:rsid w:val="71A36DE5"/>
    <w:rsid w:val="724834E8"/>
    <w:rsid w:val="72701EDF"/>
    <w:rsid w:val="727F515C"/>
    <w:rsid w:val="72C214EC"/>
    <w:rsid w:val="72ED47BB"/>
    <w:rsid w:val="730E028E"/>
    <w:rsid w:val="7333597E"/>
    <w:rsid w:val="73420C2D"/>
    <w:rsid w:val="7344195D"/>
    <w:rsid w:val="73861D54"/>
    <w:rsid w:val="739C7F8F"/>
    <w:rsid w:val="73D2750D"/>
    <w:rsid w:val="7419513C"/>
    <w:rsid w:val="743B1556"/>
    <w:rsid w:val="74510D7A"/>
    <w:rsid w:val="74E55A7D"/>
    <w:rsid w:val="74EF0832"/>
    <w:rsid w:val="750162FC"/>
    <w:rsid w:val="752C5EAE"/>
    <w:rsid w:val="75373265"/>
    <w:rsid w:val="753D12FE"/>
    <w:rsid w:val="758F1B5A"/>
    <w:rsid w:val="75CA0DE4"/>
    <w:rsid w:val="761800D4"/>
    <w:rsid w:val="76487F5B"/>
    <w:rsid w:val="76516E0F"/>
    <w:rsid w:val="7671300D"/>
    <w:rsid w:val="773B2450"/>
    <w:rsid w:val="77750DFB"/>
    <w:rsid w:val="782E7816"/>
    <w:rsid w:val="7850116F"/>
    <w:rsid w:val="78A55B5A"/>
    <w:rsid w:val="78B813C8"/>
    <w:rsid w:val="78B84CC4"/>
    <w:rsid w:val="78E35D19"/>
    <w:rsid w:val="78F63C9E"/>
    <w:rsid w:val="79222CE5"/>
    <w:rsid w:val="79921C19"/>
    <w:rsid w:val="799408D0"/>
    <w:rsid w:val="79AC7C55"/>
    <w:rsid w:val="7A1940E8"/>
    <w:rsid w:val="7A877DB3"/>
    <w:rsid w:val="7A89643E"/>
    <w:rsid w:val="7B2F195E"/>
    <w:rsid w:val="7B86755B"/>
    <w:rsid w:val="7BAE260E"/>
    <w:rsid w:val="7BDA78A7"/>
    <w:rsid w:val="7C3945CD"/>
    <w:rsid w:val="7C3C40BE"/>
    <w:rsid w:val="7C725D31"/>
    <w:rsid w:val="7C745605"/>
    <w:rsid w:val="7C8848DE"/>
    <w:rsid w:val="7CF07D68"/>
    <w:rsid w:val="7D6513F2"/>
    <w:rsid w:val="7D692C90"/>
    <w:rsid w:val="7D871368"/>
    <w:rsid w:val="7D9263DA"/>
    <w:rsid w:val="7DE44A0D"/>
    <w:rsid w:val="7E491A5E"/>
    <w:rsid w:val="7E9957F7"/>
    <w:rsid w:val="7ECD36F3"/>
    <w:rsid w:val="7F4C4618"/>
    <w:rsid w:val="7FA04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35B16ED"/>
  <w15:docId w15:val="{1AEA016A-5B14-4701-A8C6-321E923AD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2C47"/>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4">
    <w:name w:val="heading 4"/>
    <w:basedOn w:val="a"/>
    <w:next w:val="a"/>
    <w:semiHidden/>
    <w:unhideWhenUsed/>
    <w:qFormat/>
    <w:pPr>
      <w:spacing w:beforeAutospacing="1" w:afterAutospacing="1"/>
      <w:outlineLvl w:val="3"/>
    </w:pPr>
    <w:rPr>
      <w:rFonts w:ascii="宋体" w:eastAsia="宋体" w:hAnsi="宋体" w:cs="Times New Roman" w:hint="eastAsia"/>
      <w:b/>
      <w:bCs/>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7">
    <w:name w:val="Normal (Web)"/>
    <w:basedOn w:val="a"/>
    <w:qFormat/>
    <w:rPr>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
    <w:semiHidden/>
    <w:qFormat/>
    <w:rPr>
      <w:rFonts w:ascii="微软雅黑" w:eastAsia="微软雅黑" w:hAnsi="微软雅黑" w:cs="微软雅黑"/>
      <w:sz w:val="17"/>
      <w:szCs w:val="17"/>
    </w:rPr>
  </w:style>
  <w:style w:type="table" w:customStyle="1" w:styleId="TableNormal1">
    <w:name w:val="Table Normal1"/>
    <w:semiHidden/>
    <w:unhideWhenUsed/>
    <w:qFormat/>
    <w:tblPr>
      <w:tblCellMar>
        <w:top w:w="0" w:type="dxa"/>
        <w:left w:w="0" w:type="dxa"/>
        <w:bottom w:w="0" w:type="dxa"/>
        <w:right w:w="0" w:type="dxa"/>
      </w:tblCellMar>
    </w:tblPr>
  </w:style>
  <w:style w:type="paragraph" w:styleId="a9">
    <w:name w:val="List Paragraph"/>
    <w:basedOn w:val="a"/>
    <w:uiPriority w:val="99"/>
    <w:rsid w:val="00FC40D2"/>
    <w:pPr>
      <w:ind w:firstLineChars="200" w:firstLine="420"/>
    </w:pPr>
  </w:style>
  <w:style w:type="character" w:styleId="aa">
    <w:name w:val="Hyperlink"/>
    <w:basedOn w:val="a0"/>
    <w:rsid w:val="00D128B6"/>
    <w:rPr>
      <w:color w:val="0026E5" w:themeColor="hyperlink"/>
      <w:u w:val="single"/>
    </w:rPr>
  </w:style>
  <w:style w:type="character" w:customStyle="1" w:styleId="1">
    <w:name w:val="未处理的提及1"/>
    <w:basedOn w:val="a0"/>
    <w:uiPriority w:val="99"/>
    <w:semiHidden/>
    <w:unhideWhenUsed/>
    <w:rsid w:val="00D128B6"/>
    <w:rPr>
      <w:color w:val="605E5C"/>
      <w:shd w:val="clear" w:color="auto" w:fill="E1DFDD"/>
    </w:rPr>
  </w:style>
  <w:style w:type="character" w:customStyle="1" w:styleId="w-text-emphasis">
    <w:name w:val="w-text-emphasis"/>
    <w:basedOn w:val="a0"/>
    <w:rsid w:val="00A12C47"/>
  </w:style>
  <w:style w:type="character" w:customStyle="1" w:styleId="a4">
    <w:name w:val="正文文本 字符"/>
    <w:basedOn w:val="a0"/>
    <w:link w:val="a3"/>
    <w:semiHidden/>
    <w:rsid w:val="006D4218"/>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878">
      <w:bodyDiv w:val="1"/>
      <w:marLeft w:val="0"/>
      <w:marRight w:val="0"/>
      <w:marTop w:val="0"/>
      <w:marBottom w:val="0"/>
      <w:divBdr>
        <w:top w:val="none" w:sz="0" w:space="0" w:color="auto"/>
        <w:left w:val="none" w:sz="0" w:space="0" w:color="auto"/>
        <w:bottom w:val="none" w:sz="0" w:space="0" w:color="auto"/>
        <w:right w:val="none" w:sz="0" w:space="0" w:color="auto"/>
      </w:divBdr>
      <w:divsChild>
        <w:div w:id="929237816">
          <w:marLeft w:val="0"/>
          <w:marRight w:val="0"/>
          <w:marTop w:val="0"/>
          <w:marBottom w:val="0"/>
          <w:divBdr>
            <w:top w:val="none" w:sz="0" w:space="0" w:color="auto"/>
            <w:left w:val="none" w:sz="0" w:space="0" w:color="auto"/>
            <w:bottom w:val="none" w:sz="0" w:space="0" w:color="auto"/>
            <w:right w:val="none" w:sz="0" w:space="0" w:color="auto"/>
          </w:divBdr>
        </w:div>
      </w:divsChild>
    </w:div>
    <w:div w:id="39716586">
      <w:bodyDiv w:val="1"/>
      <w:marLeft w:val="0"/>
      <w:marRight w:val="0"/>
      <w:marTop w:val="0"/>
      <w:marBottom w:val="0"/>
      <w:divBdr>
        <w:top w:val="none" w:sz="0" w:space="0" w:color="auto"/>
        <w:left w:val="none" w:sz="0" w:space="0" w:color="auto"/>
        <w:bottom w:val="none" w:sz="0" w:space="0" w:color="auto"/>
        <w:right w:val="none" w:sz="0" w:space="0" w:color="auto"/>
      </w:divBdr>
    </w:div>
    <w:div w:id="54861420">
      <w:bodyDiv w:val="1"/>
      <w:marLeft w:val="0"/>
      <w:marRight w:val="0"/>
      <w:marTop w:val="0"/>
      <w:marBottom w:val="0"/>
      <w:divBdr>
        <w:top w:val="none" w:sz="0" w:space="0" w:color="auto"/>
        <w:left w:val="none" w:sz="0" w:space="0" w:color="auto"/>
        <w:bottom w:val="none" w:sz="0" w:space="0" w:color="auto"/>
        <w:right w:val="none" w:sz="0" w:space="0" w:color="auto"/>
      </w:divBdr>
      <w:divsChild>
        <w:div w:id="1369799872">
          <w:marLeft w:val="0"/>
          <w:marRight w:val="0"/>
          <w:marTop w:val="0"/>
          <w:marBottom w:val="0"/>
          <w:divBdr>
            <w:top w:val="none" w:sz="0" w:space="0" w:color="auto"/>
            <w:left w:val="none" w:sz="0" w:space="0" w:color="auto"/>
            <w:bottom w:val="none" w:sz="0" w:space="0" w:color="auto"/>
            <w:right w:val="none" w:sz="0" w:space="0" w:color="auto"/>
          </w:divBdr>
        </w:div>
      </w:divsChild>
    </w:div>
    <w:div w:id="73818631">
      <w:bodyDiv w:val="1"/>
      <w:marLeft w:val="0"/>
      <w:marRight w:val="0"/>
      <w:marTop w:val="0"/>
      <w:marBottom w:val="0"/>
      <w:divBdr>
        <w:top w:val="none" w:sz="0" w:space="0" w:color="auto"/>
        <w:left w:val="none" w:sz="0" w:space="0" w:color="auto"/>
        <w:bottom w:val="none" w:sz="0" w:space="0" w:color="auto"/>
        <w:right w:val="none" w:sz="0" w:space="0" w:color="auto"/>
      </w:divBdr>
    </w:div>
    <w:div w:id="82339253">
      <w:bodyDiv w:val="1"/>
      <w:marLeft w:val="0"/>
      <w:marRight w:val="0"/>
      <w:marTop w:val="0"/>
      <w:marBottom w:val="0"/>
      <w:divBdr>
        <w:top w:val="none" w:sz="0" w:space="0" w:color="auto"/>
        <w:left w:val="none" w:sz="0" w:space="0" w:color="auto"/>
        <w:bottom w:val="none" w:sz="0" w:space="0" w:color="auto"/>
        <w:right w:val="none" w:sz="0" w:space="0" w:color="auto"/>
      </w:divBdr>
      <w:divsChild>
        <w:div w:id="1537423404">
          <w:marLeft w:val="0"/>
          <w:marRight w:val="0"/>
          <w:marTop w:val="0"/>
          <w:marBottom w:val="0"/>
          <w:divBdr>
            <w:top w:val="none" w:sz="0" w:space="0" w:color="auto"/>
            <w:left w:val="none" w:sz="0" w:space="0" w:color="auto"/>
            <w:bottom w:val="none" w:sz="0" w:space="0" w:color="auto"/>
            <w:right w:val="none" w:sz="0" w:space="0" w:color="auto"/>
          </w:divBdr>
        </w:div>
      </w:divsChild>
    </w:div>
    <w:div w:id="86049609">
      <w:bodyDiv w:val="1"/>
      <w:marLeft w:val="0"/>
      <w:marRight w:val="0"/>
      <w:marTop w:val="0"/>
      <w:marBottom w:val="0"/>
      <w:divBdr>
        <w:top w:val="none" w:sz="0" w:space="0" w:color="auto"/>
        <w:left w:val="none" w:sz="0" w:space="0" w:color="auto"/>
        <w:bottom w:val="none" w:sz="0" w:space="0" w:color="auto"/>
        <w:right w:val="none" w:sz="0" w:space="0" w:color="auto"/>
      </w:divBdr>
      <w:divsChild>
        <w:div w:id="642278113">
          <w:marLeft w:val="0"/>
          <w:marRight w:val="0"/>
          <w:marTop w:val="0"/>
          <w:marBottom w:val="0"/>
          <w:divBdr>
            <w:top w:val="none" w:sz="0" w:space="0" w:color="auto"/>
            <w:left w:val="none" w:sz="0" w:space="0" w:color="auto"/>
            <w:bottom w:val="none" w:sz="0" w:space="0" w:color="auto"/>
            <w:right w:val="none" w:sz="0" w:space="0" w:color="auto"/>
          </w:divBdr>
        </w:div>
      </w:divsChild>
    </w:div>
    <w:div w:id="88041792">
      <w:bodyDiv w:val="1"/>
      <w:marLeft w:val="0"/>
      <w:marRight w:val="0"/>
      <w:marTop w:val="0"/>
      <w:marBottom w:val="0"/>
      <w:divBdr>
        <w:top w:val="none" w:sz="0" w:space="0" w:color="auto"/>
        <w:left w:val="none" w:sz="0" w:space="0" w:color="auto"/>
        <w:bottom w:val="none" w:sz="0" w:space="0" w:color="auto"/>
        <w:right w:val="none" w:sz="0" w:space="0" w:color="auto"/>
      </w:divBdr>
      <w:divsChild>
        <w:div w:id="1287809432">
          <w:marLeft w:val="0"/>
          <w:marRight w:val="0"/>
          <w:marTop w:val="0"/>
          <w:marBottom w:val="0"/>
          <w:divBdr>
            <w:top w:val="none" w:sz="0" w:space="0" w:color="auto"/>
            <w:left w:val="none" w:sz="0" w:space="0" w:color="auto"/>
            <w:bottom w:val="none" w:sz="0" w:space="0" w:color="auto"/>
            <w:right w:val="none" w:sz="0" w:space="0" w:color="auto"/>
          </w:divBdr>
        </w:div>
      </w:divsChild>
    </w:div>
    <w:div w:id="100272407">
      <w:bodyDiv w:val="1"/>
      <w:marLeft w:val="0"/>
      <w:marRight w:val="0"/>
      <w:marTop w:val="0"/>
      <w:marBottom w:val="0"/>
      <w:divBdr>
        <w:top w:val="none" w:sz="0" w:space="0" w:color="auto"/>
        <w:left w:val="none" w:sz="0" w:space="0" w:color="auto"/>
        <w:bottom w:val="none" w:sz="0" w:space="0" w:color="auto"/>
        <w:right w:val="none" w:sz="0" w:space="0" w:color="auto"/>
      </w:divBdr>
      <w:divsChild>
        <w:div w:id="2110880820">
          <w:marLeft w:val="446"/>
          <w:marRight w:val="0"/>
          <w:marTop w:val="0"/>
          <w:marBottom w:val="0"/>
          <w:divBdr>
            <w:top w:val="none" w:sz="0" w:space="0" w:color="auto"/>
            <w:left w:val="none" w:sz="0" w:space="0" w:color="auto"/>
            <w:bottom w:val="none" w:sz="0" w:space="0" w:color="auto"/>
            <w:right w:val="none" w:sz="0" w:space="0" w:color="auto"/>
          </w:divBdr>
        </w:div>
      </w:divsChild>
    </w:div>
    <w:div w:id="107432910">
      <w:bodyDiv w:val="1"/>
      <w:marLeft w:val="0"/>
      <w:marRight w:val="0"/>
      <w:marTop w:val="0"/>
      <w:marBottom w:val="0"/>
      <w:divBdr>
        <w:top w:val="none" w:sz="0" w:space="0" w:color="auto"/>
        <w:left w:val="none" w:sz="0" w:space="0" w:color="auto"/>
        <w:bottom w:val="none" w:sz="0" w:space="0" w:color="auto"/>
        <w:right w:val="none" w:sz="0" w:space="0" w:color="auto"/>
      </w:divBdr>
    </w:div>
    <w:div w:id="126047726">
      <w:bodyDiv w:val="1"/>
      <w:marLeft w:val="0"/>
      <w:marRight w:val="0"/>
      <w:marTop w:val="0"/>
      <w:marBottom w:val="0"/>
      <w:divBdr>
        <w:top w:val="none" w:sz="0" w:space="0" w:color="auto"/>
        <w:left w:val="none" w:sz="0" w:space="0" w:color="auto"/>
        <w:bottom w:val="none" w:sz="0" w:space="0" w:color="auto"/>
        <w:right w:val="none" w:sz="0" w:space="0" w:color="auto"/>
      </w:divBdr>
      <w:divsChild>
        <w:div w:id="1388183779">
          <w:marLeft w:val="0"/>
          <w:marRight w:val="0"/>
          <w:marTop w:val="0"/>
          <w:marBottom w:val="0"/>
          <w:divBdr>
            <w:top w:val="none" w:sz="0" w:space="0" w:color="auto"/>
            <w:left w:val="none" w:sz="0" w:space="0" w:color="auto"/>
            <w:bottom w:val="none" w:sz="0" w:space="0" w:color="auto"/>
            <w:right w:val="none" w:sz="0" w:space="0" w:color="auto"/>
          </w:divBdr>
        </w:div>
      </w:divsChild>
    </w:div>
    <w:div w:id="140536914">
      <w:bodyDiv w:val="1"/>
      <w:marLeft w:val="0"/>
      <w:marRight w:val="0"/>
      <w:marTop w:val="0"/>
      <w:marBottom w:val="0"/>
      <w:divBdr>
        <w:top w:val="none" w:sz="0" w:space="0" w:color="auto"/>
        <w:left w:val="none" w:sz="0" w:space="0" w:color="auto"/>
        <w:bottom w:val="none" w:sz="0" w:space="0" w:color="auto"/>
        <w:right w:val="none" w:sz="0" w:space="0" w:color="auto"/>
      </w:divBdr>
    </w:div>
    <w:div w:id="144707626">
      <w:bodyDiv w:val="1"/>
      <w:marLeft w:val="0"/>
      <w:marRight w:val="0"/>
      <w:marTop w:val="0"/>
      <w:marBottom w:val="0"/>
      <w:divBdr>
        <w:top w:val="none" w:sz="0" w:space="0" w:color="auto"/>
        <w:left w:val="none" w:sz="0" w:space="0" w:color="auto"/>
        <w:bottom w:val="none" w:sz="0" w:space="0" w:color="auto"/>
        <w:right w:val="none" w:sz="0" w:space="0" w:color="auto"/>
      </w:divBdr>
      <w:divsChild>
        <w:div w:id="1631669383">
          <w:marLeft w:val="0"/>
          <w:marRight w:val="0"/>
          <w:marTop w:val="0"/>
          <w:marBottom w:val="0"/>
          <w:divBdr>
            <w:top w:val="none" w:sz="0" w:space="0" w:color="auto"/>
            <w:left w:val="none" w:sz="0" w:space="0" w:color="auto"/>
            <w:bottom w:val="none" w:sz="0" w:space="0" w:color="auto"/>
            <w:right w:val="none" w:sz="0" w:space="0" w:color="auto"/>
          </w:divBdr>
        </w:div>
      </w:divsChild>
    </w:div>
    <w:div w:id="159929642">
      <w:bodyDiv w:val="1"/>
      <w:marLeft w:val="0"/>
      <w:marRight w:val="0"/>
      <w:marTop w:val="0"/>
      <w:marBottom w:val="0"/>
      <w:divBdr>
        <w:top w:val="none" w:sz="0" w:space="0" w:color="auto"/>
        <w:left w:val="none" w:sz="0" w:space="0" w:color="auto"/>
        <w:bottom w:val="none" w:sz="0" w:space="0" w:color="auto"/>
        <w:right w:val="none" w:sz="0" w:space="0" w:color="auto"/>
      </w:divBdr>
      <w:divsChild>
        <w:div w:id="409042693">
          <w:marLeft w:val="0"/>
          <w:marRight w:val="0"/>
          <w:marTop w:val="0"/>
          <w:marBottom w:val="0"/>
          <w:divBdr>
            <w:top w:val="none" w:sz="0" w:space="0" w:color="auto"/>
            <w:left w:val="none" w:sz="0" w:space="0" w:color="auto"/>
            <w:bottom w:val="none" w:sz="0" w:space="0" w:color="auto"/>
            <w:right w:val="none" w:sz="0" w:space="0" w:color="auto"/>
          </w:divBdr>
        </w:div>
      </w:divsChild>
    </w:div>
    <w:div w:id="172498407">
      <w:bodyDiv w:val="1"/>
      <w:marLeft w:val="0"/>
      <w:marRight w:val="0"/>
      <w:marTop w:val="0"/>
      <w:marBottom w:val="0"/>
      <w:divBdr>
        <w:top w:val="none" w:sz="0" w:space="0" w:color="auto"/>
        <w:left w:val="none" w:sz="0" w:space="0" w:color="auto"/>
        <w:bottom w:val="none" w:sz="0" w:space="0" w:color="auto"/>
        <w:right w:val="none" w:sz="0" w:space="0" w:color="auto"/>
      </w:divBdr>
      <w:divsChild>
        <w:div w:id="901676748">
          <w:marLeft w:val="0"/>
          <w:marRight w:val="0"/>
          <w:marTop w:val="0"/>
          <w:marBottom w:val="0"/>
          <w:divBdr>
            <w:top w:val="none" w:sz="0" w:space="0" w:color="auto"/>
            <w:left w:val="none" w:sz="0" w:space="0" w:color="auto"/>
            <w:bottom w:val="none" w:sz="0" w:space="0" w:color="auto"/>
            <w:right w:val="none" w:sz="0" w:space="0" w:color="auto"/>
          </w:divBdr>
        </w:div>
      </w:divsChild>
    </w:div>
    <w:div w:id="212163102">
      <w:bodyDiv w:val="1"/>
      <w:marLeft w:val="0"/>
      <w:marRight w:val="0"/>
      <w:marTop w:val="0"/>
      <w:marBottom w:val="0"/>
      <w:divBdr>
        <w:top w:val="none" w:sz="0" w:space="0" w:color="auto"/>
        <w:left w:val="none" w:sz="0" w:space="0" w:color="auto"/>
        <w:bottom w:val="none" w:sz="0" w:space="0" w:color="auto"/>
        <w:right w:val="none" w:sz="0" w:space="0" w:color="auto"/>
      </w:divBdr>
      <w:divsChild>
        <w:div w:id="1581022357">
          <w:marLeft w:val="0"/>
          <w:marRight w:val="0"/>
          <w:marTop w:val="0"/>
          <w:marBottom w:val="0"/>
          <w:divBdr>
            <w:top w:val="none" w:sz="0" w:space="0" w:color="auto"/>
            <w:left w:val="none" w:sz="0" w:space="0" w:color="auto"/>
            <w:bottom w:val="none" w:sz="0" w:space="0" w:color="auto"/>
            <w:right w:val="none" w:sz="0" w:space="0" w:color="auto"/>
          </w:divBdr>
        </w:div>
      </w:divsChild>
    </w:div>
    <w:div w:id="214397340">
      <w:bodyDiv w:val="1"/>
      <w:marLeft w:val="0"/>
      <w:marRight w:val="0"/>
      <w:marTop w:val="0"/>
      <w:marBottom w:val="0"/>
      <w:divBdr>
        <w:top w:val="none" w:sz="0" w:space="0" w:color="auto"/>
        <w:left w:val="none" w:sz="0" w:space="0" w:color="auto"/>
        <w:bottom w:val="none" w:sz="0" w:space="0" w:color="auto"/>
        <w:right w:val="none" w:sz="0" w:space="0" w:color="auto"/>
      </w:divBdr>
      <w:divsChild>
        <w:div w:id="58750364">
          <w:marLeft w:val="0"/>
          <w:marRight w:val="0"/>
          <w:marTop w:val="0"/>
          <w:marBottom w:val="0"/>
          <w:divBdr>
            <w:top w:val="none" w:sz="0" w:space="0" w:color="auto"/>
            <w:left w:val="none" w:sz="0" w:space="0" w:color="auto"/>
            <w:bottom w:val="none" w:sz="0" w:space="0" w:color="auto"/>
            <w:right w:val="none" w:sz="0" w:space="0" w:color="auto"/>
          </w:divBdr>
        </w:div>
      </w:divsChild>
    </w:div>
    <w:div w:id="239682416">
      <w:bodyDiv w:val="1"/>
      <w:marLeft w:val="0"/>
      <w:marRight w:val="0"/>
      <w:marTop w:val="0"/>
      <w:marBottom w:val="0"/>
      <w:divBdr>
        <w:top w:val="none" w:sz="0" w:space="0" w:color="auto"/>
        <w:left w:val="none" w:sz="0" w:space="0" w:color="auto"/>
        <w:bottom w:val="none" w:sz="0" w:space="0" w:color="auto"/>
        <w:right w:val="none" w:sz="0" w:space="0" w:color="auto"/>
      </w:divBdr>
      <w:divsChild>
        <w:div w:id="364865767">
          <w:marLeft w:val="0"/>
          <w:marRight w:val="0"/>
          <w:marTop w:val="0"/>
          <w:marBottom w:val="0"/>
          <w:divBdr>
            <w:top w:val="none" w:sz="0" w:space="0" w:color="auto"/>
            <w:left w:val="none" w:sz="0" w:space="0" w:color="auto"/>
            <w:bottom w:val="none" w:sz="0" w:space="0" w:color="auto"/>
            <w:right w:val="none" w:sz="0" w:space="0" w:color="auto"/>
          </w:divBdr>
        </w:div>
      </w:divsChild>
    </w:div>
    <w:div w:id="277420001">
      <w:bodyDiv w:val="1"/>
      <w:marLeft w:val="0"/>
      <w:marRight w:val="0"/>
      <w:marTop w:val="0"/>
      <w:marBottom w:val="0"/>
      <w:divBdr>
        <w:top w:val="none" w:sz="0" w:space="0" w:color="auto"/>
        <w:left w:val="none" w:sz="0" w:space="0" w:color="auto"/>
        <w:bottom w:val="none" w:sz="0" w:space="0" w:color="auto"/>
        <w:right w:val="none" w:sz="0" w:space="0" w:color="auto"/>
      </w:divBdr>
      <w:divsChild>
        <w:div w:id="452795755">
          <w:marLeft w:val="0"/>
          <w:marRight w:val="0"/>
          <w:marTop w:val="0"/>
          <w:marBottom w:val="0"/>
          <w:divBdr>
            <w:top w:val="none" w:sz="0" w:space="0" w:color="auto"/>
            <w:left w:val="none" w:sz="0" w:space="0" w:color="auto"/>
            <w:bottom w:val="none" w:sz="0" w:space="0" w:color="auto"/>
            <w:right w:val="none" w:sz="0" w:space="0" w:color="auto"/>
          </w:divBdr>
        </w:div>
      </w:divsChild>
    </w:div>
    <w:div w:id="277759409">
      <w:bodyDiv w:val="1"/>
      <w:marLeft w:val="0"/>
      <w:marRight w:val="0"/>
      <w:marTop w:val="0"/>
      <w:marBottom w:val="0"/>
      <w:divBdr>
        <w:top w:val="none" w:sz="0" w:space="0" w:color="auto"/>
        <w:left w:val="none" w:sz="0" w:space="0" w:color="auto"/>
        <w:bottom w:val="none" w:sz="0" w:space="0" w:color="auto"/>
        <w:right w:val="none" w:sz="0" w:space="0" w:color="auto"/>
      </w:divBdr>
    </w:div>
    <w:div w:id="279918216">
      <w:bodyDiv w:val="1"/>
      <w:marLeft w:val="0"/>
      <w:marRight w:val="0"/>
      <w:marTop w:val="0"/>
      <w:marBottom w:val="0"/>
      <w:divBdr>
        <w:top w:val="none" w:sz="0" w:space="0" w:color="auto"/>
        <w:left w:val="none" w:sz="0" w:space="0" w:color="auto"/>
        <w:bottom w:val="none" w:sz="0" w:space="0" w:color="auto"/>
        <w:right w:val="none" w:sz="0" w:space="0" w:color="auto"/>
      </w:divBdr>
    </w:div>
    <w:div w:id="297104369">
      <w:bodyDiv w:val="1"/>
      <w:marLeft w:val="0"/>
      <w:marRight w:val="0"/>
      <w:marTop w:val="0"/>
      <w:marBottom w:val="0"/>
      <w:divBdr>
        <w:top w:val="none" w:sz="0" w:space="0" w:color="auto"/>
        <w:left w:val="none" w:sz="0" w:space="0" w:color="auto"/>
        <w:bottom w:val="none" w:sz="0" w:space="0" w:color="auto"/>
        <w:right w:val="none" w:sz="0" w:space="0" w:color="auto"/>
      </w:divBdr>
    </w:div>
    <w:div w:id="305209833">
      <w:bodyDiv w:val="1"/>
      <w:marLeft w:val="0"/>
      <w:marRight w:val="0"/>
      <w:marTop w:val="0"/>
      <w:marBottom w:val="0"/>
      <w:divBdr>
        <w:top w:val="none" w:sz="0" w:space="0" w:color="auto"/>
        <w:left w:val="none" w:sz="0" w:space="0" w:color="auto"/>
        <w:bottom w:val="none" w:sz="0" w:space="0" w:color="auto"/>
        <w:right w:val="none" w:sz="0" w:space="0" w:color="auto"/>
      </w:divBdr>
      <w:divsChild>
        <w:div w:id="1958564140">
          <w:marLeft w:val="0"/>
          <w:marRight w:val="0"/>
          <w:marTop w:val="0"/>
          <w:marBottom w:val="0"/>
          <w:divBdr>
            <w:top w:val="none" w:sz="0" w:space="0" w:color="auto"/>
            <w:left w:val="none" w:sz="0" w:space="0" w:color="auto"/>
            <w:bottom w:val="none" w:sz="0" w:space="0" w:color="auto"/>
            <w:right w:val="none" w:sz="0" w:space="0" w:color="auto"/>
          </w:divBdr>
        </w:div>
      </w:divsChild>
    </w:div>
    <w:div w:id="305747297">
      <w:bodyDiv w:val="1"/>
      <w:marLeft w:val="0"/>
      <w:marRight w:val="0"/>
      <w:marTop w:val="0"/>
      <w:marBottom w:val="0"/>
      <w:divBdr>
        <w:top w:val="none" w:sz="0" w:space="0" w:color="auto"/>
        <w:left w:val="none" w:sz="0" w:space="0" w:color="auto"/>
        <w:bottom w:val="none" w:sz="0" w:space="0" w:color="auto"/>
        <w:right w:val="none" w:sz="0" w:space="0" w:color="auto"/>
      </w:divBdr>
      <w:divsChild>
        <w:div w:id="436296057">
          <w:marLeft w:val="0"/>
          <w:marRight w:val="0"/>
          <w:marTop w:val="0"/>
          <w:marBottom w:val="0"/>
          <w:divBdr>
            <w:top w:val="none" w:sz="0" w:space="0" w:color="auto"/>
            <w:left w:val="none" w:sz="0" w:space="0" w:color="auto"/>
            <w:bottom w:val="none" w:sz="0" w:space="0" w:color="auto"/>
            <w:right w:val="none" w:sz="0" w:space="0" w:color="auto"/>
          </w:divBdr>
        </w:div>
      </w:divsChild>
    </w:div>
    <w:div w:id="318969622">
      <w:bodyDiv w:val="1"/>
      <w:marLeft w:val="0"/>
      <w:marRight w:val="0"/>
      <w:marTop w:val="0"/>
      <w:marBottom w:val="0"/>
      <w:divBdr>
        <w:top w:val="none" w:sz="0" w:space="0" w:color="auto"/>
        <w:left w:val="none" w:sz="0" w:space="0" w:color="auto"/>
        <w:bottom w:val="none" w:sz="0" w:space="0" w:color="auto"/>
        <w:right w:val="none" w:sz="0" w:space="0" w:color="auto"/>
      </w:divBdr>
      <w:divsChild>
        <w:div w:id="502817903">
          <w:marLeft w:val="0"/>
          <w:marRight w:val="0"/>
          <w:marTop w:val="0"/>
          <w:marBottom w:val="0"/>
          <w:divBdr>
            <w:top w:val="none" w:sz="0" w:space="0" w:color="auto"/>
            <w:left w:val="none" w:sz="0" w:space="0" w:color="auto"/>
            <w:bottom w:val="none" w:sz="0" w:space="0" w:color="auto"/>
            <w:right w:val="none" w:sz="0" w:space="0" w:color="auto"/>
          </w:divBdr>
        </w:div>
      </w:divsChild>
    </w:div>
    <w:div w:id="338586394">
      <w:bodyDiv w:val="1"/>
      <w:marLeft w:val="0"/>
      <w:marRight w:val="0"/>
      <w:marTop w:val="0"/>
      <w:marBottom w:val="0"/>
      <w:divBdr>
        <w:top w:val="none" w:sz="0" w:space="0" w:color="auto"/>
        <w:left w:val="none" w:sz="0" w:space="0" w:color="auto"/>
        <w:bottom w:val="none" w:sz="0" w:space="0" w:color="auto"/>
        <w:right w:val="none" w:sz="0" w:space="0" w:color="auto"/>
      </w:divBdr>
      <w:divsChild>
        <w:div w:id="675349128">
          <w:marLeft w:val="0"/>
          <w:marRight w:val="0"/>
          <w:marTop w:val="0"/>
          <w:marBottom w:val="0"/>
          <w:divBdr>
            <w:top w:val="none" w:sz="0" w:space="0" w:color="auto"/>
            <w:left w:val="none" w:sz="0" w:space="0" w:color="auto"/>
            <w:bottom w:val="none" w:sz="0" w:space="0" w:color="auto"/>
            <w:right w:val="none" w:sz="0" w:space="0" w:color="auto"/>
          </w:divBdr>
        </w:div>
      </w:divsChild>
    </w:div>
    <w:div w:id="352658938">
      <w:bodyDiv w:val="1"/>
      <w:marLeft w:val="0"/>
      <w:marRight w:val="0"/>
      <w:marTop w:val="0"/>
      <w:marBottom w:val="0"/>
      <w:divBdr>
        <w:top w:val="none" w:sz="0" w:space="0" w:color="auto"/>
        <w:left w:val="none" w:sz="0" w:space="0" w:color="auto"/>
        <w:bottom w:val="none" w:sz="0" w:space="0" w:color="auto"/>
        <w:right w:val="none" w:sz="0" w:space="0" w:color="auto"/>
      </w:divBdr>
      <w:divsChild>
        <w:div w:id="1897231365">
          <w:marLeft w:val="0"/>
          <w:marRight w:val="0"/>
          <w:marTop w:val="0"/>
          <w:marBottom w:val="0"/>
          <w:divBdr>
            <w:top w:val="none" w:sz="0" w:space="0" w:color="auto"/>
            <w:left w:val="none" w:sz="0" w:space="0" w:color="auto"/>
            <w:bottom w:val="none" w:sz="0" w:space="0" w:color="auto"/>
            <w:right w:val="none" w:sz="0" w:space="0" w:color="auto"/>
          </w:divBdr>
        </w:div>
      </w:divsChild>
    </w:div>
    <w:div w:id="352849266">
      <w:bodyDiv w:val="1"/>
      <w:marLeft w:val="0"/>
      <w:marRight w:val="0"/>
      <w:marTop w:val="0"/>
      <w:marBottom w:val="0"/>
      <w:divBdr>
        <w:top w:val="none" w:sz="0" w:space="0" w:color="auto"/>
        <w:left w:val="none" w:sz="0" w:space="0" w:color="auto"/>
        <w:bottom w:val="none" w:sz="0" w:space="0" w:color="auto"/>
        <w:right w:val="none" w:sz="0" w:space="0" w:color="auto"/>
      </w:divBdr>
      <w:divsChild>
        <w:div w:id="2128351407">
          <w:marLeft w:val="0"/>
          <w:marRight w:val="0"/>
          <w:marTop w:val="0"/>
          <w:marBottom w:val="0"/>
          <w:divBdr>
            <w:top w:val="none" w:sz="0" w:space="0" w:color="auto"/>
            <w:left w:val="none" w:sz="0" w:space="0" w:color="auto"/>
            <w:bottom w:val="none" w:sz="0" w:space="0" w:color="auto"/>
            <w:right w:val="none" w:sz="0" w:space="0" w:color="auto"/>
          </w:divBdr>
        </w:div>
      </w:divsChild>
    </w:div>
    <w:div w:id="354617085">
      <w:bodyDiv w:val="1"/>
      <w:marLeft w:val="0"/>
      <w:marRight w:val="0"/>
      <w:marTop w:val="0"/>
      <w:marBottom w:val="0"/>
      <w:divBdr>
        <w:top w:val="none" w:sz="0" w:space="0" w:color="auto"/>
        <w:left w:val="none" w:sz="0" w:space="0" w:color="auto"/>
        <w:bottom w:val="none" w:sz="0" w:space="0" w:color="auto"/>
        <w:right w:val="none" w:sz="0" w:space="0" w:color="auto"/>
      </w:divBdr>
      <w:divsChild>
        <w:div w:id="1535772086">
          <w:marLeft w:val="446"/>
          <w:marRight w:val="0"/>
          <w:marTop w:val="0"/>
          <w:marBottom w:val="0"/>
          <w:divBdr>
            <w:top w:val="none" w:sz="0" w:space="0" w:color="auto"/>
            <w:left w:val="none" w:sz="0" w:space="0" w:color="auto"/>
            <w:bottom w:val="none" w:sz="0" w:space="0" w:color="auto"/>
            <w:right w:val="none" w:sz="0" w:space="0" w:color="auto"/>
          </w:divBdr>
        </w:div>
      </w:divsChild>
    </w:div>
    <w:div w:id="365763516">
      <w:bodyDiv w:val="1"/>
      <w:marLeft w:val="0"/>
      <w:marRight w:val="0"/>
      <w:marTop w:val="0"/>
      <w:marBottom w:val="0"/>
      <w:divBdr>
        <w:top w:val="none" w:sz="0" w:space="0" w:color="auto"/>
        <w:left w:val="none" w:sz="0" w:space="0" w:color="auto"/>
        <w:bottom w:val="none" w:sz="0" w:space="0" w:color="auto"/>
        <w:right w:val="none" w:sz="0" w:space="0" w:color="auto"/>
      </w:divBdr>
      <w:divsChild>
        <w:div w:id="315955119">
          <w:marLeft w:val="0"/>
          <w:marRight w:val="0"/>
          <w:marTop w:val="0"/>
          <w:marBottom w:val="0"/>
          <w:divBdr>
            <w:top w:val="single" w:sz="6" w:space="8" w:color="EEEEEE"/>
            <w:left w:val="none" w:sz="0" w:space="0" w:color="auto"/>
            <w:bottom w:val="none" w:sz="0" w:space="0" w:color="auto"/>
            <w:right w:val="none" w:sz="0" w:space="0" w:color="auto"/>
          </w:divBdr>
        </w:div>
      </w:divsChild>
    </w:div>
    <w:div w:id="385420515">
      <w:bodyDiv w:val="1"/>
      <w:marLeft w:val="0"/>
      <w:marRight w:val="0"/>
      <w:marTop w:val="0"/>
      <w:marBottom w:val="0"/>
      <w:divBdr>
        <w:top w:val="none" w:sz="0" w:space="0" w:color="auto"/>
        <w:left w:val="none" w:sz="0" w:space="0" w:color="auto"/>
        <w:bottom w:val="none" w:sz="0" w:space="0" w:color="auto"/>
        <w:right w:val="none" w:sz="0" w:space="0" w:color="auto"/>
      </w:divBdr>
      <w:divsChild>
        <w:div w:id="658074048">
          <w:marLeft w:val="0"/>
          <w:marRight w:val="0"/>
          <w:marTop w:val="0"/>
          <w:marBottom w:val="0"/>
          <w:divBdr>
            <w:top w:val="none" w:sz="0" w:space="0" w:color="auto"/>
            <w:left w:val="none" w:sz="0" w:space="0" w:color="auto"/>
            <w:bottom w:val="none" w:sz="0" w:space="0" w:color="auto"/>
            <w:right w:val="none" w:sz="0" w:space="0" w:color="auto"/>
          </w:divBdr>
        </w:div>
      </w:divsChild>
    </w:div>
    <w:div w:id="396827516">
      <w:bodyDiv w:val="1"/>
      <w:marLeft w:val="0"/>
      <w:marRight w:val="0"/>
      <w:marTop w:val="0"/>
      <w:marBottom w:val="0"/>
      <w:divBdr>
        <w:top w:val="none" w:sz="0" w:space="0" w:color="auto"/>
        <w:left w:val="none" w:sz="0" w:space="0" w:color="auto"/>
        <w:bottom w:val="none" w:sz="0" w:space="0" w:color="auto"/>
        <w:right w:val="none" w:sz="0" w:space="0" w:color="auto"/>
      </w:divBdr>
      <w:divsChild>
        <w:div w:id="20206912">
          <w:marLeft w:val="0"/>
          <w:marRight w:val="0"/>
          <w:marTop w:val="0"/>
          <w:marBottom w:val="0"/>
          <w:divBdr>
            <w:top w:val="none" w:sz="0" w:space="0" w:color="auto"/>
            <w:left w:val="none" w:sz="0" w:space="0" w:color="auto"/>
            <w:bottom w:val="none" w:sz="0" w:space="0" w:color="auto"/>
            <w:right w:val="none" w:sz="0" w:space="0" w:color="auto"/>
          </w:divBdr>
        </w:div>
      </w:divsChild>
    </w:div>
    <w:div w:id="406152357">
      <w:bodyDiv w:val="1"/>
      <w:marLeft w:val="0"/>
      <w:marRight w:val="0"/>
      <w:marTop w:val="0"/>
      <w:marBottom w:val="0"/>
      <w:divBdr>
        <w:top w:val="none" w:sz="0" w:space="0" w:color="auto"/>
        <w:left w:val="none" w:sz="0" w:space="0" w:color="auto"/>
        <w:bottom w:val="none" w:sz="0" w:space="0" w:color="auto"/>
        <w:right w:val="none" w:sz="0" w:space="0" w:color="auto"/>
      </w:divBdr>
    </w:div>
    <w:div w:id="407773404">
      <w:bodyDiv w:val="1"/>
      <w:marLeft w:val="0"/>
      <w:marRight w:val="0"/>
      <w:marTop w:val="0"/>
      <w:marBottom w:val="0"/>
      <w:divBdr>
        <w:top w:val="none" w:sz="0" w:space="0" w:color="auto"/>
        <w:left w:val="none" w:sz="0" w:space="0" w:color="auto"/>
        <w:bottom w:val="none" w:sz="0" w:space="0" w:color="auto"/>
        <w:right w:val="none" w:sz="0" w:space="0" w:color="auto"/>
      </w:divBdr>
      <w:divsChild>
        <w:div w:id="82339778">
          <w:marLeft w:val="0"/>
          <w:marRight w:val="0"/>
          <w:marTop w:val="0"/>
          <w:marBottom w:val="0"/>
          <w:divBdr>
            <w:top w:val="none" w:sz="0" w:space="0" w:color="auto"/>
            <w:left w:val="none" w:sz="0" w:space="0" w:color="auto"/>
            <w:bottom w:val="none" w:sz="0" w:space="0" w:color="auto"/>
            <w:right w:val="none" w:sz="0" w:space="0" w:color="auto"/>
          </w:divBdr>
        </w:div>
      </w:divsChild>
    </w:div>
    <w:div w:id="410007325">
      <w:bodyDiv w:val="1"/>
      <w:marLeft w:val="0"/>
      <w:marRight w:val="0"/>
      <w:marTop w:val="0"/>
      <w:marBottom w:val="0"/>
      <w:divBdr>
        <w:top w:val="none" w:sz="0" w:space="0" w:color="auto"/>
        <w:left w:val="none" w:sz="0" w:space="0" w:color="auto"/>
        <w:bottom w:val="none" w:sz="0" w:space="0" w:color="auto"/>
        <w:right w:val="none" w:sz="0" w:space="0" w:color="auto"/>
      </w:divBdr>
      <w:divsChild>
        <w:div w:id="306323646">
          <w:marLeft w:val="0"/>
          <w:marRight w:val="0"/>
          <w:marTop w:val="0"/>
          <w:marBottom w:val="0"/>
          <w:divBdr>
            <w:top w:val="none" w:sz="0" w:space="0" w:color="auto"/>
            <w:left w:val="none" w:sz="0" w:space="0" w:color="auto"/>
            <w:bottom w:val="none" w:sz="0" w:space="0" w:color="auto"/>
            <w:right w:val="none" w:sz="0" w:space="0" w:color="auto"/>
          </w:divBdr>
        </w:div>
      </w:divsChild>
    </w:div>
    <w:div w:id="428820675">
      <w:bodyDiv w:val="1"/>
      <w:marLeft w:val="0"/>
      <w:marRight w:val="0"/>
      <w:marTop w:val="0"/>
      <w:marBottom w:val="0"/>
      <w:divBdr>
        <w:top w:val="none" w:sz="0" w:space="0" w:color="auto"/>
        <w:left w:val="none" w:sz="0" w:space="0" w:color="auto"/>
        <w:bottom w:val="none" w:sz="0" w:space="0" w:color="auto"/>
        <w:right w:val="none" w:sz="0" w:space="0" w:color="auto"/>
      </w:divBdr>
      <w:divsChild>
        <w:div w:id="331032072">
          <w:marLeft w:val="0"/>
          <w:marRight w:val="0"/>
          <w:marTop w:val="0"/>
          <w:marBottom w:val="0"/>
          <w:divBdr>
            <w:top w:val="none" w:sz="0" w:space="0" w:color="auto"/>
            <w:left w:val="none" w:sz="0" w:space="0" w:color="auto"/>
            <w:bottom w:val="none" w:sz="0" w:space="0" w:color="auto"/>
            <w:right w:val="none" w:sz="0" w:space="0" w:color="auto"/>
          </w:divBdr>
        </w:div>
      </w:divsChild>
    </w:div>
    <w:div w:id="440538511">
      <w:bodyDiv w:val="1"/>
      <w:marLeft w:val="0"/>
      <w:marRight w:val="0"/>
      <w:marTop w:val="0"/>
      <w:marBottom w:val="0"/>
      <w:divBdr>
        <w:top w:val="none" w:sz="0" w:space="0" w:color="auto"/>
        <w:left w:val="none" w:sz="0" w:space="0" w:color="auto"/>
        <w:bottom w:val="none" w:sz="0" w:space="0" w:color="auto"/>
        <w:right w:val="none" w:sz="0" w:space="0" w:color="auto"/>
      </w:divBdr>
    </w:div>
    <w:div w:id="457068270">
      <w:bodyDiv w:val="1"/>
      <w:marLeft w:val="0"/>
      <w:marRight w:val="0"/>
      <w:marTop w:val="0"/>
      <w:marBottom w:val="0"/>
      <w:divBdr>
        <w:top w:val="none" w:sz="0" w:space="0" w:color="auto"/>
        <w:left w:val="none" w:sz="0" w:space="0" w:color="auto"/>
        <w:bottom w:val="none" w:sz="0" w:space="0" w:color="auto"/>
        <w:right w:val="none" w:sz="0" w:space="0" w:color="auto"/>
      </w:divBdr>
    </w:div>
    <w:div w:id="463354741">
      <w:bodyDiv w:val="1"/>
      <w:marLeft w:val="0"/>
      <w:marRight w:val="0"/>
      <w:marTop w:val="0"/>
      <w:marBottom w:val="0"/>
      <w:divBdr>
        <w:top w:val="none" w:sz="0" w:space="0" w:color="auto"/>
        <w:left w:val="none" w:sz="0" w:space="0" w:color="auto"/>
        <w:bottom w:val="none" w:sz="0" w:space="0" w:color="auto"/>
        <w:right w:val="none" w:sz="0" w:space="0" w:color="auto"/>
      </w:divBdr>
    </w:div>
    <w:div w:id="471556941">
      <w:bodyDiv w:val="1"/>
      <w:marLeft w:val="0"/>
      <w:marRight w:val="0"/>
      <w:marTop w:val="0"/>
      <w:marBottom w:val="0"/>
      <w:divBdr>
        <w:top w:val="none" w:sz="0" w:space="0" w:color="auto"/>
        <w:left w:val="none" w:sz="0" w:space="0" w:color="auto"/>
        <w:bottom w:val="none" w:sz="0" w:space="0" w:color="auto"/>
        <w:right w:val="none" w:sz="0" w:space="0" w:color="auto"/>
      </w:divBdr>
    </w:div>
    <w:div w:id="473525609">
      <w:bodyDiv w:val="1"/>
      <w:marLeft w:val="0"/>
      <w:marRight w:val="0"/>
      <w:marTop w:val="0"/>
      <w:marBottom w:val="0"/>
      <w:divBdr>
        <w:top w:val="none" w:sz="0" w:space="0" w:color="auto"/>
        <w:left w:val="none" w:sz="0" w:space="0" w:color="auto"/>
        <w:bottom w:val="none" w:sz="0" w:space="0" w:color="auto"/>
        <w:right w:val="none" w:sz="0" w:space="0" w:color="auto"/>
      </w:divBdr>
    </w:div>
    <w:div w:id="484975267">
      <w:bodyDiv w:val="1"/>
      <w:marLeft w:val="0"/>
      <w:marRight w:val="0"/>
      <w:marTop w:val="0"/>
      <w:marBottom w:val="0"/>
      <w:divBdr>
        <w:top w:val="none" w:sz="0" w:space="0" w:color="auto"/>
        <w:left w:val="none" w:sz="0" w:space="0" w:color="auto"/>
        <w:bottom w:val="none" w:sz="0" w:space="0" w:color="auto"/>
        <w:right w:val="none" w:sz="0" w:space="0" w:color="auto"/>
      </w:divBdr>
    </w:div>
    <w:div w:id="487136267">
      <w:bodyDiv w:val="1"/>
      <w:marLeft w:val="0"/>
      <w:marRight w:val="0"/>
      <w:marTop w:val="0"/>
      <w:marBottom w:val="0"/>
      <w:divBdr>
        <w:top w:val="none" w:sz="0" w:space="0" w:color="auto"/>
        <w:left w:val="none" w:sz="0" w:space="0" w:color="auto"/>
        <w:bottom w:val="none" w:sz="0" w:space="0" w:color="auto"/>
        <w:right w:val="none" w:sz="0" w:space="0" w:color="auto"/>
      </w:divBdr>
    </w:div>
    <w:div w:id="488710324">
      <w:bodyDiv w:val="1"/>
      <w:marLeft w:val="0"/>
      <w:marRight w:val="0"/>
      <w:marTop w:val="0"/>
      <w:marBottom w:val="0"/>
      <w:divBdr>
        <w:top w:val="none" w:sz="0" w:space="0" w:color="auto"/>
        <w:left w:val="none" w:sz="0" w:space="0" w:color="auto"/>
        <w:bottom w:val="none" w:sz="0" w:space="0" w:color="auto"/>
        <w:right w:val="none" w:sz="0" w:space="0" w:color="auto"/>
      </w:divBdr>
    </w:div>
    <w:div w:id="490683334">
      <w:bodyDiv w:val="1"/>
      <w:marLeft w:val="0"/>
      <w:marRight w:val="0"/>
      <w:marTop w:val="0"/>
      <w:marBottom w:val="0"/>
      <w:divBdr>
        <w:top w:val="none" w:sz="0" w:space="0" w:color="auto"/>
        <w:left w:val="none" w:sz="0" w:space="0" w:color="auto"/>
        <w:bottom w:val="none" w:sz="0" w:space="0" w:color="auto"/>
        <w:right w:val="none" w:sz="0" w:space="0" w:color="auto"/>
      </w:divBdr>
    </w:div>
    <w:div w:id="495193434">
      <w:bodyDiv w:val="1"/>
      <w:marLeft w:val="0"/>
      <w:marRight w:val="0"/>
      <w:marTop w:val="0"/>
      <w:marBottom w:val="0"/>
      <w:divBdr>
        <w:top w:val="none" w:sz="0" w:space="0" w:color="auto"/>
        <w:left w:val="none" w:sz="0" w:space="0" w:color="auto"/>
        <w:bottom w:val="none" w:sz="0" w:space="0" w:color="auto"/>
        <w:right w:val="none" w:sz="0" w:space="0" w:color="auto"/>
      </w:divBdr>
    </w:div>
    <w:div w:id="506529448">
      <w:bodyDiv w:val="1"/>
      <w:marLeft w:val="0"/>
      <w:marRight w:val="0"/>
      <w:marTop w:val="0"/>
      <w:marBottom w:val="0"/>
      <w:divBdr>
        <w:top w:val="none" w:sz="0" w:space="0" w:color="auto"/>
        <w:left w:val="none" w:sz="0" w:space="0" w:color="auto"/>
        <w:bottom w:val="none" w:sz="0" w:space="0" w:color="auto"/>
        <w:right w:val="none" w:sz="0" w:space="0" w:color="auto"/>
      </w:divBdr>
    </w:div>
    <w:div w:id="515193843">
      <w:bodyDiv w:val="1"/>
      <w:marLeft w:val="0"/>
      <w:marRight w:val="0"/>
      <w:marTop w:val="0"/>
      <w:marBottom w:val="0"/>
      <w:divBdr>
        <w:top w:val="none" w:sz="0" w:space="0" w:color="auto"/>
        <w:left w:val="none" w:sz="0" w:space="0" w:color="auto"/>
        <w:bottom w:val="none" w:sz="0" w:space="0" w:color="auto"/>
        <w:right w:val="none" w:sz="0" w:space="0" w:color="auto"/>
      </w:divBdr>
      <w:divsChild>
        <w:div w:id="2036880434">
          <w:marLeft w:val="0"/>
          <w:marRight w:val="0"/>
          <w:marTop w:val="0"/>
          <w:marBottom w:val="0"/>
          <w:divBdr>
            <w:top w:val="none" w:sz="0" w:space="0" w:color="auto"/>
            <w:left w:val="none" w:sz="0" w:space="0" w:color="auto"/>
            <w:bottom w:val="none" w:sz="0" w:space="0" w:color="auto"/>
            <w:right w:val="none" w:sz="0" w:space="0" w:color="auto"/>
          </w:divBdr>
        </w:div>
      </w:divsChild>
    </w:div>
    <w:div w:id="532115019">
      <w:bodyDiv w:val="1"/>
      <w:marLeft w:val="0"/>
      <w:marRight w:val="0"/>
      <w:marTop w:val="0"/>
      <w:marBottom w:val="0"/>
      <w:divBdr>
        <w:top w:val="none" w:sz="0" w:space="0" w:color="auto"/>
        <w:left w:val="none" w:sz="0" w:space="0" w:color="auto"/>
        <w:bottom w:val="none" w:sz="0" w:space="0" w:color="auto"/>
        <w:right w:val="none" w:sz="0" w:space="0" w:color="auto"/>
      </w:divBdr>
    </w:div>
    <w:div w:id="569265835">
      <w:bodyDiv w:val="1"/>
      <w:marLeft w:val="0"/>
      <w:marRight w:val="0"/>
      <w:marTop w:val="0"/>
      <w:marBottom w:val="0"/>
      <w:divBdr>
        <w:top w:val="none" w:sz="0" w:space="0" w:color="auto"/>
        <w:left w:val="none" w:sz="0" w:space="0" w:color="auto"/>
        <w:bottom w:val="none" w:sz="0" w:space="0" w:color="auto"/>
        <w:right w:val="none" w:sz="0" w:space="0" w:color="auto"/>
      </w:divBdr>
      <w:divsChild>
        <w:div w:id="104153130">
          <w:marLeft w:val="0"/>
          <w:marRight w:val="0"/>
          <w:marTop w:val="0"/>
          <w:marBottom w:val="0"/>
          <w:divBdr>
            <w:top w:val="none" w:sz="0" w:space="0" w:color="auto"/>
            <w:left w:val="none" w:sz="0" w:space="0" w:color="auto"/>
            <w:bottom w:val="none" w:sz="0" w:space="0" w:color="auto"/>
            <w:right w:val="none" w:sz="0" w:space="0" w:color="auto"/>
          </w:divBdr>
        </w:div>
      </w:divsChild>
    </w:div>
    <w:div w:id="590428604">
      <w:bodyDiv w:val="1"/>
      <w:marLeft w:val="0"/>
      <w:marRight w:val="0"/>
      <w:marTop w:val="0"/>
      <w:marBottom w:val="0"/>
      <w:divBdr>
        <w:top w:val="none" w:sz="0" w:space="0" w:color="auto"/>
        <w:left w:val="none" w:sz="0" w:space="0" w:color="auto"/>
        <w:bottom w:val="none" w:sz="0" w:space="0" w:color="auto"/>
        <w:right w:val="none" w:sz="0" w:space="0" w:color="auto"/>
      </w:divBdr>
    </w:div>
    <w:div w:id="641235321">
      <w:bodyDiv w:val="1"/>
      <w:marLeft w:val="0"/>
      <w:marRight w:val="0"/>
      <w:marTop w:val="0"/>
      <w:marBottom w:val="0"/>
      <w:divBdr>
        <w:top w:val="none" w:sz="0" w:space="0" w:color="auto"/>
        <w:left w:val="none" w:sz="0" w:space="0" w:color="auto"/>
        <w:bottom w:val="none" w:sz="0" w:space="0" w:color="auto"/>
        <w:right w:val="none" w:sz="0" w:space="0" w:color="auto"/>
      </w:divBdr>
      <w:divsChild>
        <w:div w:id="394476426">
          <w:marLeft w:val="0"/>
          <w:marRight w:val="0"/>
          <w:marTop w:val="0"/>
          <w:marBottom w:val="0"/>
          <w:divBdr>
            <w:top w:val="none" w:sz="0" w:space="0" w:color="auto"/>
            <w:left w:val="none" w:sz="0" w:space="0" w:color="auto"/>
            <w:bottom w:val="none" w:sz="0" w:space="0" w:color="auto"/>
            <w:right w:val="none" w:sz="0" w:space="0" w:color="auto"/>
          </w:divBdr>
        </w:div>
      </w:divsChild>
    </w:div>
    <w:div w:id="647054649">
      <w:bodyDiv w:val="1"/>
      <w:marLeft w:val="0"/>
      <w:marRight w:val="0"/>
      <w:marTop w:val="0"/>
      <w:marBottom w:val="0"/>
      <w:divBdr>
        <w:top w:val="none" w:sz="0" w:space="0" w:color="auto"/>
        <w:left w:val="none" w:sz="0" w:space="0" w:color="auto"/>
        <w:bottom w:val="none" w:sz="0" w:space="0" w:color="auto"/>
        <w:right w:val="none" w:sz="0" w:space="0" w:color="auto"/>
      </w:divBdr>
    </w:div>
    <w:div w:id="655688838">
      <w:bodyDiv w:val="1"/>
      <w:marLeft w:val="0"/>
      <w:marRight w:val="0"/>
      <w:marTop w:val="0"/>
      <w:marBottom w:val="0"/>
      <w:divBdr>
        <w:top w:val="none" w:sz="0" w:space="0" w:color="auto"/>
        <w:left w:val="none" w:sz="0" w:space="0" w:color="auto"/>
        <w:bottom w:val="none" w:sz="0" w:space="0" w:color="auto"/>
        <w:right w:val="none" w:sz="0" w:space="0" w:color="auto"/>
      </w:divBdr>
      <w:divsChild>
        <w:div w:id="1253009910">
          <w:marLeft w:val="446"/>
          <w:marRight w:val="0"/>
          <w:marTop w:val="0"/>
          <w:marBottom w:val="0"/>
          <w:divBdr>
            <w:top w:val="none" w:sz="0" w:space="0" w:color="auto"/>
            <w:left w:val="none" w:sz="0" w:space="0" w:color="auto"/>
            <w:bottom w:val="none" w:sz="0" w:space="0" w:color="auto"/>
            <w:right w:val="none" w:sz="0" w:space="0" w:color="auto"/>
          </w:divBdr>
        </w:div>
      </w:divsChild>
    </w:div>
    <w:div w:id="655843333">
      <w:bodyDiv w:val="1"/>
      <w:marLeft w:val="0"/>
      <w:marRight w:val="0"/>
      <w:marTop w:val="0"/>
      <w:marBottom w:val="0"/>
      <w:divBdr>
        <w:top w:val="none" w:sz="0" w:space="0" w:color="auto"/>
        <w:left w:val="none" w:sz="0" w:space="0" w:color="auto"/>
        <w:bottom w:val="none" w:sz="0" w:space="0" w:color="auto"/>
        <w:right w:val="none" w:sz="0" w:space="0" w:color="auto"/>
      </w:divBdr>
      <w:divsChild>
        <w:div w:id="738208852">
          <w:marLeft w:val="0"/>
          <w:marRight w:val="0"/>
          <w:marTop w:val="0"/>
          <w:marBottom w:val="0"/>
          <w:divBdr>
            <w:top w:val="none" w:sz="0" w:space="0" w:color="auto"/>
            <w:left w:val="none" w:sz="0" w:space="0" w:color="auto"/>
            <w:bottom w:val="none" w:sz="0" w:space="0" w:color="auto"/>
            <w:right w:val="none" w:sz="0" w:space="0" w:color="auto"/>
          </w:divBdr>
        </w:div>
      </w:divsChild>
    </w:div>
    <w:div w:id="772819972">
      <w:bodyDiv w:val="1"/>
      <w:marLeft w:val="0"/>
      <w:marRight w:val="0"/>
      <w:marTop w:val="0"/>
      <w:marBottom w:val="0"/>
      <w:divBdr>
        <w:top w:val="none" w:sz="0" w:space="0" w:color="auto"/>
        <w:left w:val="none" w:sz="0" w:space="0" w:color="auto"/>
        <w:bottom w:val="none" w:sz="0" w:space="0" w:color="auto"/>
        <w:right w:val="none" w:sz="0" w:space="0" w:color="auto"/>
      </w:divBdr>
      <w:divsChild>
        <w:div w:id="329452986">
          <w:marLeft w:val="0"/>
          <w:marRight w:val="0"/>
          <w:marTop w:val="0"/>
          <w:marBottom w:val="0"/>
          <w:divBdr>
            <w:top w:val="none" w:sz="0" w:space="0" w:color="auto"/>
            <w:left w:val="none" w:sz="0" w:space="0" w:color="auto"/>
            <w:bottom w:val="none" w:sz="0" w:space="0" w:color="auto"/>
            <w:right w:val="none" w:sz="0" w:space="0" w:color="auto"/>
          </w:divBdr>
        </w:div>
      </w:divsChild>
    </w:div>
    <w:div w:id="814688571">
      <w:bodyDiv w:val="1"/>
      <w:marLeft w:val="0"/>
      <w:marRight w:val="0"/>
      <w:marTop w:val="0"/>
      <w:marBottom w:val="0"/>
      <w:divBdr>
        <w:top w:val="none" w:sz="0" w:space="0" w:color="auto"/>
        <w:left w:val="none" w:sz="0" w:space="0" w:color="auto"/>
        <w:bottom w:val="none" w:sz="0" w:space="0" w:color="auto"/>
        <w:right w:val="none" w:sz="0" w:space="0" w:color="auto"/>
      </w:divBdr>
    </w:div>
    <w:div w:id="838041252">
      <w:bodyDiv w:val="1"/>
      <w:marLeft w:val="0"/>
      <w:marRight w:val="0"/>
      <w:marTop w:val="0"/>
      <w:marBottom w:val="0"/>
      <w:divBdr>
        <w:top w:val="none" w:sz="0" w:space="0" w:color="auto"/>
        <w:left w:val="none" w:sz="0" w:space="0" w:color="auto"/>
        <w:bottom w:val="none" w:sz="0" w:space="0" w:color="auto"/>
        <w:right w:val="none" w:sz="0" w:space="0" w:color="auto"/>
      </w:divBdr>
      <w:divsChild>
        <w:div w:id="1623805879">
          <w:marLeft w:val="0"/>
          <w:marRight w:val="0"/>
          <w:marTop w:val="0"/>
          <w:marBottom w:val="0"/>
          <w:divBdr>
            <w:top w:val="none" w:sz="0" w:space="0" w:color="auto"/>
            <w:left w:val="none" w:sz="0" w:space="0" w:color="auto"/>
            <w:bottom w:val="none" w:sz="0" w:space="0" w:color="auto"/>
            <w:right w:val="none" w:sz="0" w:space="0" w:color="auto"/>
          </w:divBdr>
        </w:div>
      </w:divsChild>
    </w:div>
    <w:div w:id="846405134">
      <w:bodyDiv w:val="1"/>
      <w:marLeft w:val="0"/>
      <w:marRight w:val="0"/>
      <w:marTop w:val="0"/>
      <w:marBottom w:val="0"/>
      <w:divBdr>
        <w:top w:val="none" w:sz="0" w:space="0" w:color="auto"/>
        <w:left w:val="none" w:sz="0" w:space="0" w:color="auto"/>
        <w:bottom w:val="none" w:sz="0" w:space="0" w:color="auto"/>
        <w:right w:val="none" w:sz="0" w:space="0" w:color="auto"/>
      </w:divBdr>
      <w:divsChild>
        <w:div w:id="1761178523">
          <w:marLeft w:val="0"/>
          <w:marRight w:val="0"/>
          <w:marTop w:val="0"/>
          <w:marBottom w:val="0"/>
          <w:divBdr>
            <w:top w:val="none" w:sz="0" w:space="0" w:color="auto"/>
            <w:left w:val="none" w:sz="0" w:space="0" w:color="auto"/>
            <w:bottom w:val="none" w:sz="0" w:space="0" w:color="auto"/>
            <w:right w:val="none" w:sz="0" w:space="0" w:color="auto"/>
          </w:divBdr>
        </w:div>
      </w:divsChild>
    </w:div>
    <w:div w:id="869801781">
      <w:bodyDiv w:val="1"/>
      <w:marLeft w:val="0"/>
      <w:marRight w:val="0"/>
      <w:marTop w:val="0"/>
      <w:marBottom w:val="0"/>
      <w:divBdr>
        <w:top w:val="none" w:sz="0" w:space="0" w:color="auto"/>
        <w:left w:val="none" w:sz="0" w:space="0" w:color="auto"/>
        <w:bottom w:val="none" w:sz="0" w:space="0" w:color="auto"/>
        <w:right w:val="none" w:sz="0" w:space="0" w:color="auto"/>
      </w:divBdr>
    </w:div>
    <w:div w:id="884561686">
      <w:bodyDiv w:val="1"/>
      <w:marLeft w:val="0"/>
      <w:marRight w:val="0"/>
      <w:marTop w:val="0"/>
      <w:marBottom w:val="0"/>
      <w:divBdr>
        <w:top w:val="none" w:sz="0" w:space="0" w:color="auto"/>
        <w:left w:val="none" w:sz="0" w:space="0" w:color="auto"/>
        <w:bottom w:val="none" w:sz="0" w:space="0" w:color="auto"/>
        <w:right w:val="none" w:sz="0" w:space="0" w:color="auto"/>
      </w:divBdr>
      <w:divsChild>
        <w:div w:id="1241409074">
          <w:marLeft w:val="0"/>
          <w:marRight w:val="0"/>
          <w:marTop w:val="0"/>
          <w:marBottom w:val="0"/>
          <w:divBdr>
            <w:top w:val="none" w:sz="0" w:space="0" w:color="auto"/>
            <w:left w:val="none" w:sz="0" w:space="0" w:color="auto"/>
            <w:bottom w:val="none" w:sz="0" w:space="0" w:color="auto"/>
            <w:right w:val="none" w:sz="0" w:space="0" w:color="auto"/>
          </w:divBdr>
        </w:div>
      </w:divsChild>
    </w:div>
    <w:div w:id="886184913">
      <w:bodyDiv w:val="1"/>
      <w:marLeft w:val="0"/>
      <w:marRight w:val="0"/>
      <w:marTop w:val="0"/>
      <w:marBottom w:val="0"/>
      <w:divBdr>
        <w:top w:val="none" w:sz="0" w:space="0" w:color="auto"/>
        <w:left w:val="none" w:sz="0" w:space="0" w:color="auto"/>
        <w:bottom w:val="none" w:sz="0" w:space="0" w:color="auto"/>
        <w:right w:val="none" w:sz="0" w:space="0" w:color="auto"/>
      </w:divBdr>
    </w:div>
    <w:div w:id="890195579">
      <w:bodyDiv w:val="1"/>
      <w:marLeft w:val="0"/>
      <w:marRight w:val="0"/>
      <w:marTop w:val="0"/>
      <w:marBottom w:val="0"/>
      <w:divBdr>
        <w:top w:val="none" w:sz="0" w:space="0" w:color="auto"/>
        <w:left w:val="none" w:sz="0" w:space="0" w:color="auto"/>
        <w:bottom w:val="none" w:sz="0" w:space="0" w:color="auto"/>
        <w:right w:val="none" w:sz="0" w:space="0" w:color="auto"/>
      </w:divBdr>
      <w:divsChild>
        <w:div w:id="1529248177">
          <w:marLeft w:val="0"/>
          <w:marRight w:val="0"/>
          <w:marTop w:val="0"/>
          <w:marBottom w:val="0"/>
          <w:divBdr>
            <w:top w:val="none" w:sz="0" w:space="0" w:color="auto"/>
            <w:left w:val="none" w:sz="0" w:space="0" w:color="auto"/>
            <w:bottom w:val="none" w:sz="0" w:space="0" w:color="auto"/>
            <w:right w:val="none" w:sz="0" w:space="0" w:color="auto"/>
          </w:divBdr>
        </w:div>
      </w:divsChild>
    </w:div>
    <w:div w:id="890767971">
      <w:bodyDiv w:val="1"/>
      <w:marLeft w:val="0"/>
      <w:marRight w:val="0"/>
      <w:marTop w:val="0"/>
      <w:marBottom w:val="0"/>
      <w:divBdr>
        <w:top w:val="none" w:sz="0" w:space="0" w:color="auto"/>
        <w:left w:val="none" w:sz="0" w:space="0" w:color="auto"/>
        <w:bottom w:val="none" w:sz="0" w:space="0" w:color="auto"/>
        <w:right w:val="none" w:sz="0" w:space="0" w:color="auto"/>
      </w:divBdr>
      <w:divsChild>
        <w:div w:id="640698408">
          <w:marLeft w:val="0"/>
          <w:marRight w:val="0"/>
          <w:marTop w:val="0"/>
          <w:marBottom w:val="0"/>
          <w:divBdr>
            <w:top w:val="none" w:sz="0" w:space="0" w:color="auto"/>
            <w:left w:val="none" w:sz="0" w:space="0" w:color="auto"/>
            <w:bottom w:val="none" w:sz="0" w:space="0" w:color="auto"/>
            <w:right w:val="none" w:sz="0" w:space="0" w:color="auto"/>
          </w:divBdr>
        </w:div>
      </w:divsChild>
    </w:div>
    <w:div w:id="905843023">
      <w:bodyDiv w:val="1"/>
      <w:marLeft w:val="0"/>
      <w:marRight w:val="0"/>
      <w:marTop w:val="0"/>
      <w:marBottom w:val="0"/>
      <w:divBdr>
        <w:top w:val="none" w:sz="0" w:space="0" w:color="auto"/>
        <w:left w:val="none" w:sz="0" w:space="0" w:color="auto"/>
        <w:bottom w:val="none" w:sz="0" w:space="0" w:color="auto"/>
        <w:right w:val="none" w:sz="0" w:space="0" w:color="auto"/>
      </w:divBdr>
      <w:divsChild>
        <w:div w:id="1840806371">
          <w:marLeft w:val="0"/>
          <w:marRight w:val="0"/>
          <w:marTop w:val="0"/>
          <w:marBottom w:val="0"/>
          <w:divBdr>
            <w:top w:val="none" w:sz="0" w:space="0" w:color="auto"/>
            <w:left w:val="none" w:sz="0" w:space="0" w:color="auto"/>
            <w:bottom w:val="none" w:sz="0" w:space="0" w:color="auto"/>
            <w:right w:val="none" w:sz="0" w:space="0" w:color="auto"/>
          </w:divBdr>
        </w:div>
      </w:divsChild>
    </w:div>
    <w:div w:id="912931483">
      <w:bodyDiv w:val="1"/>
      <w:marLeft w:val="0"/>
      <w:marRight w:val="0"/>
      <w:marTop w:val="0"/>
      <w:marBottom w:val="0"/>
      <w:divBdr>
        <w:top w:val="none" w:sz="0" w:space="0" w:color="auto"/>
        <w:left w:val="none" w:sz="0" w:space="0" w:color="auto"/>
        <w:bottom w:val="none" w:sz="0" w:space="0" w:color="auto"/>
        <w:right w:val="none" w:sz="0" w:space="0" w:color="auto"/>
      </w:divBdr>
      <w:divsChild>
        <w:div w:id="460343496">
          <w:marLeft w:val="0"/>
          <w:marRight w:val="0"/>
          <w:marTop w:val="0"/>
          <w:marBottom w:val="0"/>
          <w:divBdr>
            <w:top w:val="none" w:sz="0" w:space="0" w:color="auto"/>
            <w:left w:val="none" w:sz="0" w:space="0" w:color="auto"/>
            <w:bottom w:val="none" w:sz="0" w:space="0" w:color="auto"/>
            <w:right w:val="none" w:sz="0" w:space="0" w:color="auto"/>
          </w:divBdr>
        </w:div>
      </w:divsChild>
    </w:div>
    <w:div w:id="937178008">
      <w:bodyDiv w:val="1"/>
      <w:marLeft w:val="0"/>
      <w:marRight w:val="0"/>
      <w:marTop w:val="0"/>
      <w:marBottom w:val="0"/>
      <w:divBdr>
        <w:top w:val="none" w:sz="0" w:space="0" w:color="auto"/>
        <w:left w:val="none" w:sz="0" w:space="0" w:color="auto"/>
        <w:bottom w:val="none" w:sz="0" w:space="0" w:color="auto"/>
        <w:right w:val="none" w:sz="0" w:space="0" w:color="auto"/>
      </w:divBdr>
    </w:div>
    <w:div w:id="967855072">
      <w:bodyDiv w:val="1"/>
      <w:marLeft w:val="0"/>
      <w:marRight w:val="0"/>
      <w:marTop w:val="0"/>
      <w:marBottom w:val="0"/>
      <w:divBdr>
        <w:top w:val="none" w:sz="0" w:space="0" w:color="auto"/>
        <w:left w:val="none" w:sz="0" w:space="0" w:color="auto"/>
        <w:bottom w:val="none" w:sz="0" w:space="0" w:color="auto"/>
        <w:right w:val="none" w:sz="0" w:space="0" w:color="auto"/>
      </w:divBdr>
    </w:div>
    <w:div w:id="986007409">
      <w:bodyDiv w:val="1"/>
      <w:marLeft w:val="0"/>
      <w:marRight w:val="0"/>
      <w:marTop w:val="0"/>
      <w:marBottom w:val="0"/>
      <w:divBdr>
        <w:top w:val="none" w:sz="0" w:space="0" w:color="auto"/>
        <w:left w:val="none" w:sz="0" w:space="0" w:color="auto"/>
        <w:bottom w:val="none" w:sz="0" w:space="0" w:color="auto"/>
        <w:right w:val="none" w:sz="0" w:space="0" w:color="auto"/>
      </w:divBdr>
    </w:div>
    <w:div w:id="1060404286">
      <w:bodyDiv w:val="1"/>
      <w:marLeft w:val="0"/>
      <w:marRight w:val="0"/>
      <w:marTop w:val="0"/>
      <w:marBottom w:val="0"/>
      <w:divBdr>
        <w:top w:val="none" w:sz="0" w:space="0" w:color="auto"/>
        <w:left w:val="none" w:sz="0" w:space="0" w:color="auto"/>
        <w:bottom w:val="none" w:sz="0" w:space="0" w:color="auto"/>
        <w:right w:val="none" w:sz="0" w:space="0" w:color="auto"/>
      </w:divBdr>
      <w:divsChild>
        <w:div w:id="1472407206">
          <w:marLeft w:val="0"/>
          <w:marRight w:val="0"/>
          <w:marTop w:val="0"/>
          <w:marBottom w:val="0"/>
          <w:divBdr>
            <w:top w:val="none" w:sz="0" w:space="0" w:color="auto"/>
            <w:left w:val="none" w:sz="0" w:space="0" w:color="auto"/>
            <w:bottom w:val="none" w:sz="0" w:space="0" w:color="auto"/>
            <w:right w:val="none" w:sz="0" w:space="0" w:color="auto"/>
          </w:divBdr>
        </w:div>
      </w:divsChild>
    </w:div>
    <w:div w:id="1063256640">
      <w:bodyDiv w:val="1"/>
      <w:marLeft w:val="0"/>
      <w:marRight w:val="0"/>
      <w:marTop w:val="0"/>
      <w:marBottom w:val="0"/>
      <w:divBdr>
        <w:top w:val="none" w:sz="0" w:space="0" w:color="auto"/>
        <w:left w:val="none" w:sz="0" w:space="0" w:color="auto"/>
        <w:bottom w:val="none" w:sz="0" w:space="0" w:color="auto"/>
        <w:right w:val="none" w:sz="0" w:space="0" w:color="auto"/>
      </w:divBdr>
      <w:divsChild>
        <w:div w:id="1927953147">
          <w:marLeft w:val="0"/>
          <w:marRight w:val="0"/>
          <w:marTop w:val="0"/>
          <w:marBottom w:val="0"/>
          <w:divBdr>
            <w:top w:val="none" w:sz="0" w:space="0" w:color="auto"/>
            <w:left w:val="none" w:sz="0" w:space="0" w:color="auto"/>
            <w:bottom w:val="none" w:sz="0" w:space="0" w:color="auto"/>
            <w:right w:val="none" w:sz="0" w:space="0" w:color="auto"/>
          </w:divBdr>
        </w:div>
      </w:divsChild>
    </w:div>
    <w:div w:id="1071460843">
      <w:bodyDiv w:val="1"/>
      <w:marLeft w:val="0"/>
      <w:marRight w:val="0"/>
      <w:marTop w:val="0"/>
      <w:marBottom w:val="0"/>
      <w:divBdr>
        <w:top w:val="none" w:sz="0" w:space="0" w:color="auto"/>
        <w:left w:val="none" w:sz="0" w:space="0" w:color="auto"/>
        <w:bottom w:val="none" w:sz="0" w:space="0" w:color="auto"/>
        <w:right w:val="none" w:sz="0" w:space="0" w:color="auto"/>
      </w:divBdr>
      <w:divsChild>
        <w:div w:id="1736859509">
          <w:marLeft w:val="0"/>
          <w:marRight w:val="0"/>
          <w:marTop w:val="0"/>
          <w:marBottom w:val="0"/>
          <w:divBdr>
            <w:top w:val="none" w:sz="0" w:space="0" w:color="auto"/>
            <w:left w:val="none" w:sz="0" w:space="0" w:color="auto"/>
            <w:bottom w:val="none" w:sz="0" w:space="0" w:color="auto"/>
            <w:right w:val="none" w:sz="0" w:space="0" w:color="auto"/>
          </w:divBdr>
        </w:div>
      </w:divsChild>
    </w:div>
    <w:div w:id="1098016960">
      <w:bodyDiv w:val="1"/>
      <w:marLeft w:val="0"/>
      <w:marRight w:val="0"/>
      <w:marTop w:val="0"/>
      <w:marBottom w:val="0"/>
      <w:divBdr>
        <w:top w:val="none" w:sz="0" w:space="0" w:color="auto"/>
        <w:left w:val="none" w:sz="0" w:space="0" w:color="auto"/>
        <w:bottom w:val="none" w:sz="0" w:space="0" w:color="auto"/>
        <w:right w:val="none" w:sz="0" w:space="0" w:color="auto"/>
      </w:divBdr>
    </w:div>
    <w:div w:id="1107887869">
      <w:bodyDiv w:val="1"/>
      <w:marLeft w:val="0"/>
      <w:marRight w:val="0"/>
      <w:marTop w:val="0"/>
      <w:marBottom w:val="0"/>
      <w:divBdr>
        <w:top w:val="none" w:sz="0" w:space="0" w:color="auto"/>
        <w:left w:val="none" w:sz="0" w:space="0" w:color="auto"/>
        <w:bottom w:val="none" w:sz="0" w:space="0" w:color="auto"/>
        <w:right w:val="none" w:sz="0" w:space="0" w:color="auto"/>
      </w:divBdr>
    </w:div>
    <w:div w:id="1148283323">
      <w:bodyDiv w:val="1"/>
      <w:marLeft w:val="0"/>
      <w:marRight w:val="0"/>
      <w:marTop w:val="0"/>
      <w:marBottom w:val="0"/>
      <w:divBdr>
        <w:top w:val="none" w:sz="0" w:space="0" w:color="auto"/>
        <w:left w:val="none" w:sz="0" w:space="0" w:color="auto"/>
        <w:bottom w:val="none" w:sz="0" w:space="0" w:color="auto"/>
        <w:right w:val="none" w:sz="0" w:space="0" w:color="auto"/>
      </w:divBdr>
      <w:divsChild>
        <w:div w:id="1647930297">
          <w:marLeft w:val="0"/>
          <w:marRight w:val="0"/>
          <w:marTop w:val="0"/>
          <w:marBottom w:val="0"/>
          <w:divBdr>
            <w:top w:val="none" w:sz="0" w:space="0" w:color="auto"/>
            <w:left w:val="none" w:sz="0" w:space="0" w:color="auto"/>
            <w:bottom w:val="none" w:sz="0" w:space="0" w:color="auto"/>
            <w:right w:val="none" w:sz="0" w:space="0" w:color="auto"/>
          </w:divBdr>
        </w:div>
      </w:divsChild>
    </w:div>
    <w:div w:id="1153258824">
      <w:bodyDiv w:val="1"/>
      <w:marLeft w:val="0"/>
      <w:marRight w:val="0"/>
      <w:marTop w:val="0"/>
      <w:marBottom w:val="0"/>
      <w:divBdr>
        <w:top w:val="none" w:sz="0" w:space="0" w:color="auto"/>
        <w:left w:val="none" w:sz="0" w:space="0" w:color="auto"/>
        <w:bottom w:val="none" w:sz="0" w:space="0" w:color="auto"/>
        <w:right w:val="none" w:sz="0" w:space="0" w:color="auto"/>
      </w:divBdr>
      <w:divsChild>
        <w:div w:id="323431726">
          <w:marLeft w:val="0"/>
          <w:marRight w:val="0"/>
          <w:marTop w:val="0"/>
          <w:marBottom w:val="0"/>
          <w:divBdr>
            <w:top w:val="none" w:sz="0" w:space="0" w:color="auto"/>
            <w:left w:val="none" w:sz="0" w:space="0" w:color="auto"/>
            <w:bottom w:val="none" w:sz="0" w:space="0" w:color="auto"/>
            <w:right w:val="none" w:sz="0" w:space="0" w:color="auto"/>
          </w:divBdr>
        </w:div>
      </w:divsChild>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sChild>
        <w:div w:id="1157652268">
          <w:marLeft w:val="0"/>
          <w:marRight w:val="0"/>
          <w:marTop w:val="0"/>
          <w:marBottom w:val="0"/>
          <w:divBdr>
            <w:top w:val="none" w:sz="0" w:space="0" w:color="auto"/>
            <w:left w:val="none" w:sz="0" w:space="0" w:color="auto"/>
            <w:bottom w:val="none" w:sz="0" w:space="0" w:color="auto"/>
            <w:right w:val="none" w:sz="0" w:space="0" w:color="auto"/>
          </w:divBdr>
        </w:div>
      </w:divsChild>
    </w:div>
    <w:div w:id="1162088199">
      <w:bodyDiv w:val="1"/>
      <w:marLeft w:val="0"/>
      <w:marRight w:val="0"/>
      <w:marTop w:val="0"/>
      <w:marBottom w:val="0"/>
      <w:divBdr>
        <w:top w:val="none" w:sz="0" w:space="0" w:color="auto"/>
        <w:left w:val="none" w:sz="0" w:space="0" w:color="auto"/>
        <w:bottom w:val="none" w:sz="0" w:space="0" w:color="auto"/>
        <w:right w:val="none" w:sz="0" w:space="0" w:color="auto"/>
      </w:divBdr>
      <w:divsChild>
        <w:div w:id="765464522">
          <w:marLeft w:val="0"/>
          <w:marRight w:val="0"/>
          <w:marTop w:val="0"/>
          <w:marBottom w:val="0"/>
          <w:divBdr>
            <w:top w:val="none" w:sz="0" w:space="0" w:color="auto"/>
            <w:left w:val="none" w:sz="0" w:space="0" w:color="auto"/>
            <w:bottom w:val="none" w:sz="0" w:space="0" w:color="auto"/>
            <w:right w:val="none" w:sz="0" w:space="0" w:color="auto"/>
          </w:divBdr>
        </w:div>
      </w:divsChild>
    </w:div>
    <w:div w:id="1183593812">
      <w:bodyDiv w:val="1"/>
      <w:marLeft w:val="0"/>
      <w:marRight w:val="0"/>
      <w:marTop w:val="0"/>
      <w:marBottom w:val="0"/>
      <w:divBdr>
        <w:top w:val="none" w:sz="0" w:space="0" w:color="auto"/>
        <w:left w:val="none" w:sz="0" w:space="0" w:color="auto"/>
        <w:bottom w:val="none" w:sz="0" w:space="0" w:color="auto"/>
        <w:right w:val="none" w:sz="0" w:space="0" w:color="auto"/>
      </w:divBdr>
    </w:div>
    <w:div w:id="1201743784">
      <w:bodyDiv w:val="1"/>
      <w:marLeft w:val="0"/>
      <w:marRight w:val="0"/>
      <w:marTop w:val="0"/>
      <w:marBottom w:val="0"/>
      <w:divBdr>
        <w:top w:val="none" w:sz="0" w:space="0" w:color="auto"/>
        <w:left w:val="none" w:sz="0" w:space="0" w:color="auto"/>
        <w:bottom w:val="none" w:sz="0" w:space="0" w:color="auto"/>
        <w:right w:val="none" w:sz="0" w:space="0" w:color="auto"/>
      </w:divBdr>
      <w:divsChild>
        <w:div w:id="801852893">
          <w:marLeft w:val="0"/>
          <w:marRight w:val="0"/>
          <w:marTop w:val="0"/>
          <w:marBottom w:val="0"/>
          <w:divBdr>
            <w:top w:val="none" w:sz="0" w:space="0" w:color="auto"/>
            <w:left w:val="none" w:sz="0" w:space="0" w:color="auto"/>
            <w:bottom w:val="none" w:sz="0" w:space="0" w:color="auto"/>
            <w:right w:val="none" w:sz="0" w:space="0" w:color="auto"/>
          </w:divBdr>
        </w:div>
      </w:divsChild>
    </w:div>
    <w:div w:id="1203207899">
      <w:bodyDiv w:val="1"/>
      <w:marLeft w:val="0"/>
      <w:marRight w:val="0"/>
      <w:marTop w:val="0"/>
      <w:marBottom w:val="0"/>
      <w:divBdr>
        <w:top w:val="none" w:sz="0" w:space="0" w:color="auto"/>
        <w:left w:val="none" w:sz="0" w:space="0" w:color="auto"/>
        <w:bottom w:val="none" w:sz="0" w:space="0" w:color="auto"/>
        <w:right w:val="none" w:sz="0" w:space="0" w:color="auto"/>
      </w:divBdr>
      <w:divsChild>
        <w:div w:id="1218473580">
          <w:marLeft w:val="0"/>
          <w:marRight w:val="0"/>
          <w:marTop w:val="0"/>
          <w:marBottom w:val="0"/>
          <w:divBdr>
            <w:top w:val="none" w:sz="0" w:space="0" w:color="auto"/>
            <w:left w:val="none" w:sz="0" w:space="0" w:color="auto"/>
            <w:bottom w:val="none" w:sz="0" w:space="0" w:color="auto"/>
            <w:right w:val="none" w:sz="0" w:space="0" w:color="auto"/>
          </w:divBdr>
        </w:div>
      </w:divsChild>
    </w:div>
    <w:div w:id="1214662110">
      <w:bodyDiv w:val="1"/>
      <w:marLeft w:val="0"/>
      <w:marRight w:val="0"/>
      <w:marTop w:val="0"/>
      <w:marBottom w:val="0"/>
      <w:divBdr>
        <w:top w:val="none" w:sz="0" w:space="0" w:color="auto"/>
        <w:left w:val="none" w:sz="0" w:space="0" w:color="auto"/>
        <w:bottom w:val="none" w:sz="0" w:space="0" w:color="auto"/>
        <w:right w:val="none" w:sz="0" w:space="0" w:color="auto"/>
      </w:divBdr>
      <w:divsChild>
        <w:div w:id="452603585">
          <w:marLeft w:val="0"/>
          <w:marRight w:val="0"/>
          <w:marTop w:val="0"/>
          <w:marBottom w:val="0"/>
          <w:divBdr>
            <w:top w:val="none" w:sz="0" w:space="0" w:color="auto"/>
            <w:left w:val="none" w:sz="0" w:space="0" w:color="auto"/>
            <w:bottom w:val="none" w:sz="0" w:space="0" w:color="auto"/>
            <w:right w:val="none" w:sz="0" w:space="0" w:color="auto"/>
          </w:divBdr>
        </w:div>
      </w:divsChild>
    </w:div>
    <w:div w:id="1218474573">
      <w:bodyDiv w:val="1"/>
      <w:marLeft w:val="0"/>
      <w:marRight w:val="0"/>
      <w:marTop w:val="0"/>
      <w:marBottom w:val="0"/>
      <w:divBdr>
        <w:top w:val="none" w:sz="0" w:space="0" w:color="auto"/>
        <w:left w:val="none" w:sz="0" w:space="0" w:color="auto"/>
        <w:bottom w:val="none" w:sz="0" w:space="0" w:color="auto"/>
        <w:right w:val="none" w:sz="0" w:space="0" w:color="auto"/>
      </w:divBdr>
    </w:div>
    <w:div w:id="1235093644">
      <w:bodyDiv w:val="1"/>
      <w:marLeft w:val="0"/>
      <w:marRight w:val="0"/>
      <w:marTop w:val="0"/>
      <w:marBottom w:val="0"/>
      <w:divBdr>
        <w:top w:val="none" w:sz="0" w:space="0" w:color="auto"/>
        <w:left w:val="none" w:sz="0" w:space="0" w:color="auto"/>
        <w:bottom w:val="none" w:sz="0" w:space="0" w:color="auto"/>
        <w:right w:val="none" w:sz="0" w:space="0" w:color="auto"/>
      </w:divBdr>
    </w:div>
    <w:div w:id="1255824321">
      <w:bodyDiv w:val="1"/>
      <w:marLeft w:val="0"/>
      <w:marRight w:val="0"/>
      <w:marTop w:val="0"/>
      <w:marBottom w:val="0"/>
      <w:divBdr>
        <w:top w:val="none" w:sz="0" w:space="0" w:color="auto"/>
        <w:left w:val="none" w:sz="0" w:space="0" w:color="auto"/>
        <w:bottom w:val="none" w:sz="0" w:space="0" w:color="auto"/>
        <w:right w:val="none" w:sz="0" w:space="0" w:color="auto"/>
      </w:divBdr>
    </w:div>
    <w:div w:id="1256942562">
      <w:bodyDiv w:val="1"/>
      <w:marLeft w:val="0"/>
      <w:marRight w:val="0"/>
      <w:marTop w:val="0"/>
      <w:marBottom w:val="0"/>
      <w:divBdr>
        <w:top w:val="none" w:sz="0" w:space="0" w:color="auto"/>
        <w:left w:val="none" w:sz="0" w:space="0" w:color="auto"/>
        <w:bottom w:val="none" w:sz="0" w:space="0" w:color="auto"/>
        <w:right w:val="none" w:sz="0" w:space="0" w:color="auto"/>
      </w:divBdr>
      <w:divsChild>
        <w:div w:id="632098372">
          <w:marLeft w:val="0"/>
          <w:marRight w:val="0"/>
          <w:marTop w:val="0"/>
          <w:marBottom w:val="0"/>
          <w:divBdr>
            <w:top w:val="none" w:sz="0" w:space="0" w:color="auto"/>
            <w:left w:val="none" w:sz="0" w:space="0" w:color="auto"/>
            <w:bottom w:val="none" w:sz="0" w:space="0" w:color="auto"/>
            <w:right w:val="none" w:sz="0" w:space="0" w:color="auto"/>
          </w:divBdr>
        </w:div>
      </w:divsChild>
    </w:div>
    <w:div w:id="1284190747">
      <w:bodyDiv w:val="1"/>
      <w:marLeft w:val="0"/>
      <w:marRight w:val="0"/>
      <w:marTop w:val="0"/>
      <w:marBottom w:val="0"/>
      <w:divBdr>
        <w:top w:val="none" w:sz="0" w:space="0" w:color="auto"/>
        <w:left w:val="none" w:sz="0" w:space="0" w:color="auto"/>
        <w:bottom w:val="none" w:sz="0" w:space="0" w:color="auto"/>
        <w:right w:val="none" w:sz="0" w:space="0" w:color="auto"/>
      </w:divBdr>
      <w:divsChild>
        <w:div w:id="1557549854">
          <w:marLeft w:val="0"/>
          <w:marRight w:val="0"/>
          <w:marTop w:val="0"/>
          <w:marBottom w:val="0"/>
          <w:divBdr>
            <w:top w:val="none" w:sz="0" w:space="0" w:color="auto"/>
            <w:left w:val="none" w:sz="0" w:space="0" w:color="auto"/>
            <w:bottom w:val="none" w:sz="0" w:space="0" w:color="auto"/>
            <w:right w:val="none" w:sz="0" w:space="0" w:color="auto"/>
          </w:divBdr>
        </w:div>
      </w:divsChild>
    </w:div>
    <w:div w:id="1286618279">
      <w:bodyDiv w:val="1"/>
      <w:marLeft w:val="0"/>
      <w:marRight w:val="0"/>
      <w:marTop w:val="0"/>
      <w:marBottom w:val="0"/>
      <w:divBdr>
        <w:top w:val="none" w:sz="0" w:space="0" w:color="auto"/>
        <w:left w:val="none" w:sz="0" w:space="0" w:color="auto"/>
        <w:bottom w:val="none" w:sz="0" w:space="0" w:color="auto"/>
        <w:right w:val="none" w:sz="0" w:space="0" w:color="auto"/>
      </w:divBdr>
    </w:div>
    <w:div w:id="1298339478">
      <w:bodyDiv w:val="1"/>
      <w:marLeft w:val="0"/>
      <w:marRight w:val="0"/>
      <w:marTop w:val="0"/>
      <w:marBottom w:val="0"/>
      <w:divBdr>
        <w:top w:val="none" w:sz="0" w:space="0" w:color="auto"/>
        <w:left w:val="none" w:sz="0" w:space="0" w:color="auto"/>
        <w:bottom w:val="none" w:sz="0" w:space="0" w:color="auto"/>
        <w:right w:val="none" w:sz="0" w:space="0" w:color="auto"/>
      </w:divBdr>
    </w:div>
    <w:div w:id="1310403253">
      <w:bodyDiv w:val="1"/>
      <w:marLeft w:val="0"/>
      <w:marRight w:val="0"/>
      <w:marTop w:val="0"/>
      <w:marBottom w:val="0"/>
      <w:divBdr>
        <w:top w:val="none" w:sz="0" w:space="0" w:color="auto"/>
        <w:left w:val="none" w:sz="0" w:space="0" w:color="auto"/>
        <w:bottom w:val="none" w:sz="0" w:space="0" w:color="auto"/>
        <w:right w:val="none" w:sz="0" w:space="0" w:color="auto"/>
      </w:divBdr>
    </w:div>
    <w:div w:id="1318262063">
      <w:bodyDiv w:val="1"/>
      <w:marLeft w:val="0"/>
      <w:marRight w:val="0"/>
      <w:marTop w:val="0"/>
      <w:marBottom w:val="0"/>
      <w:divBdr>
        <w:top w:val="none" w:sz="0" w:space="0" w:color="auto"/>
        <w:left w:val="none" w:sz="0" w:space="0" w:color="auto"/>
        <w:bottom w:val="none" w:sz="0" w:space="0" w:color="auto"/>
        <w:right w:val="none" w:sz="0" w:space="0" w:color="auto"/>
      </w:divBdr>
    </w:div>
    <w:div w:id="1336811008">
      <w:bodyDiv w:val="1"/>
      <w:marLeft w:val="0"/>
      <w:marRight w:val="0"/>
      <w:marTop w:val="0"/>
      <w:marBottom w:val="0"/>
      <w:divBdr>
        <w:top w:val="none" w:sz="0" w:space="0" w:color="auto"/>
        <w:left w:val="none" w:sz="0" w:space="0" w:color="auto"/>
        <w:bottom w:val="none" w:sz="0" w:space="0" w:color="auto"/>
        <w:right w:val="none" w:sz="0" w:space="0" w:color="auto"/>
      </w:divBdr>
    </w:div>
    <w:div w:id="1345136283">
      <w:bodyDiv w:val="1"/>
      <w:marLeft w:val="0"/>
      <w:marRight w:val="0"/>
      <w:marTop w:val="0"/>
      <w:marBottom w:val="0"/>
      <w:divBdr>
        <w:top w:val="none" w:sz="0" w:space="0" w:color="auto"/>
        <w:left w:val="none" w:sz="0" w:space="0" w:color="auto"/>
        <w:bottom w:val="none" w:sz="0" w:space="0" w:color="auto"/>
        <w:right w:val="none" w:sz="0" w:space="0" w:color="auto"/>
      </w:divBdr>
      <w:divsChild>
        <w:div w:id="1027411207">
          <w:marLeft w:val="0"/>
          <w:marRight w:val="0"/>
          <w:marTop w:val="0"/>
          <w:marBottom w:val="0"/>
          <w:divBdr>
            <w:top w:val="none" w:sz="0" w:space="0" w:color="auto"/>
            <w:left w:val="none" w:sz="0" w:space="0" w:color="auto"/>
            <w:bottom w:val="none" w:sz="0" w:space="0" w:color="auto"/>
            <w:right w:val="none" w:sz="0" w:space="0" w:color="auto"/>
          </w:divBdr>
        </w:div>
      </w:divsChild>
    </w:div>
    <w:div w:id="1364668072">
      <w:bodyDiv w:val="1"/>
      <w:marLeft w:val="0"/>
      <w:marRight w:val="0"/>
      <w:marTop w:val="0"/>
      <w:marBottom w:val="0"/>
      <w:divBdr>
        <w:top w:val="none" w:sz="0" w:space="0" w:color="auto"/>
        <w:left w:val="none" w:sz="0" w:space="0" w:color="auto"/>
        <w:bottom w:val="none" w:sz="0" w:space="0" w:color="auto"/>
        <w:right w:val="none" w:sz="0" w:space="0" w:color="auto"/>
      </w:divBdr>
      <w:divsChild>
        <w:div w:id="1121612780">
          <w:marLeft w:val="0"/>
          <w:marRight w:val="0"/>
          <w:marTop w:val="0"/>
          <w:marBottom w:val="0"/>
          <w:divBdr>
            <w:top w:val="none" w:sz="0" w:space="0" w:color="auto"/>
            <w:left w:val="none" w:sz="0" w:space="0" w:color="auto"/>
            <w:bottom w:val="none" w:sz="0" w:space="0" w:color="auto"/>
            <w:right w:val="none" w:sz="0" w:space="0" w:color="auto"/>
          </w:divBdr>
        </w:div>
      </w:divsChild>
    </w:div>
    <w:div w:id="1369647745">
      <w:bodyDiv w:val="1"/>
      <w:marLeft w:val="0"/>
      <w:marRight w:val="0"/>
      <w:marTop w:val="0"/>
      <w:marBottom w:val="0"/>
      <w:divBdr>
        <w:top w:val="none" w:sz="0" w:space="0" w:color="auto"/>
        <w:left w:val="none" w:sz="0" w:space="0" w:color="auto"/>
        <w:bottom w:val="none" w:sz="0" w:space="0" w:color="auto"/>
        <w:right w:val="none" w:sz="0" w:space="0" w:color="auto"/>
      </w:divBdr>
      <w:divsChild>
        <w:div w:id="1535996328">
          <w:marLeft w:val="0"/>
          <w:marRight w:val="0"/>
          <w:marTop w:val="0"/>
          <w:marBottom w:val="0"/>
          <w:divBdr>
            <w:top w:val="none" w:sz="0" w:space="0" w:color="auto"/>
            <w:left w:val="none" w:sz="0" w:space="0" w:color="auto"/>
            <w:bottom w:val="none" w:sz="0" w:space="0" w:color="auto"/>
            <w:right w:val="none" w:sz="0" w:space="0" w:color="auto"/>
          </w:divBdr>
        </w:div>
      </w:divsChild>
    </w:div>
    <w:div w:id="1380325668">
      <w:bodyDiv w:val="1"/>
      <w:marLeft w:val="0"/>
      <w:marRight w:val="0"/>
      <w:marTop w:val="0"/>
      <w:marBottom w:val="0"/>
      <w:divBdr>
        <w:top w:val="none" w:sz="0" w:space="0" w:color="auto"/>
        <w:left w:val="none" w:sz="0" w:space="0" w:color="auto"/>
        <w:bottom w:val="none" w:sz="0" w:space="0" w:color="auto"/>
        <w:right w:val="none" w:sz="0" w:space="0" w:color="auto"/>
      </w:divBdr>
      <w:divsChild>
        <w:div w:id="1772817804">
          <w:marLeft w:val="0"/>
          <w:marRight w:val="0"/>
          <w:marTop w:val="0"/>
          <w:marBottom w:val="0"/>
          <w:divBdr>
            <w:top w:val="none" w:sz="0" w:space="0" w:color="auto"/>
            <w:left w:val="none" w:sz="0" w:space="0" w:color="auto"/>
            <w:bottom w:val="none" w:sz="0" w:space="0" w:color="auto"/>
            <w:right w:val="none" w:sz="0" w:space="0" w:color="auto"/>
          </w:divBdr>
        </w:div>
      </w:divsChild>
    </w:div>
    <w:div w:id="1383866846">
      <w:bodyDiv w:val="1"/>
      <w:marLeft w:val="0"/>
      <w:marRight w:val="0"/>
      <w:marTop w:val="0"/>
      <w:marBottom w:val="0"/>
      <w:divBdr>
        <w:top w:val="none" w:sz="0" w:space="0" w:color="auto"/>
        <w:left w:val="none" w:sz="0" w:space="0" w:color="auto"/>
        <w:bottom w:val="none" w:sz="0" w:space="0" w:color="auto"/>
        <w:right w:val="none" w:sz="0" w:space="0" w:color="auto"/>
      </w:divBdr>
      <w:divsChild>
        <w:div w:id="61370351">
          <w:marLeft w:val="0"/>
          <w:marRight w:val="0"/>
          <w:marTop w:val="0"/>
          <w:marBottom w:val="0"/>
          <w:divBdr>
            <w:top w:val="none" w:sz="0" w:space="0" w:color="auto"/>
            <w:left w:val="none" w:sz="0" w:space="0" w:color="auto"/>
            <w:bottom w:val="none" w:sz="0" w:space="0" w:color="auto"/>
            <w:right w:val="none" w:sz="0" w:space="0" w:color="auto"/>
          </w:divBdr>
        </w:div>
      </w:divsChild>
    </w:div>
    <w:div w:id="1389844840">
      <w:bodyDiv w:val="1"/>
      <w:marLeft w:val="0"/>
      <w:marRight w:val="0"/>
      <w:marTop w:val="0"/>
      <w:marBottom w:val="0"/>
      <w:divBdr>
        <w:top w:val="none" w:sz="0" w:space="0" w:color="auto"/>
        <w:left w:val="none" w:sz="0" w:space="0" w:color="auto"/>
        <w:bottom w:val="none" w:sz="0" w:space="0" w:color="auto"/>
        <w:right w:val="none" w:sz="0" w:space="0" w:color="auto"/>
      </w:divBdr>
      <w:divsChild>
        <w:div w:id="317924340">
          <w:marLeft w:val="0"/>
          <w:marRight w:val="0"/>
          <w:marTop w:val="0"/>
          <w:marBottom w:val="0"/>
          <w:divBdr>
            <w:top w:val="none" w:sz="0" w:space="0" w:color="auto"/>
            <w:left w:val="none" w:sz="0" w:space="0" w:color="auto"/>
            <w:bottom w:val="none" w:sz="0" w:space="0" w:color="auto"/>
            <w:right w:val="none" w:sz="0" w:space="0" w:color="auto"/>
          </w:divBdr>
        </w:div>
      </w:divsChild>
    </w:div>
    <w:div w:id="1399665353">
      <w:bodyDiv w:val="1"/>
      <w:marLeft w:val="0"/>
      <w:marRight w:val="0"/>
      <w:marTop w:val="0"/>
      <w:marBottom w:val="0"/>
      <w:divBdr>
        <w:top w:val="none" w:sz="0" w:space="0" w:color="auto"/>
        <w:left w:val="none" w:sz="0" w:space="0" w:color="auto"/>
        <w:bottom w:val="none" w:sz="0" w:space="0" w:color="auto"/>
        <w:right w:val="none" w:sz="0" w:space="0" w:color="auto"/>
      </w:divBdr>
    </w:div>
    <w:div w:id="1407264716">
      <w:bodyDiv w:val="1"/>
      <w:marLeft w:val="0"/>
      <w:marRight w:val="0"/>
      <w:marTop w:val="0"/>
      <w:marBottom w:val="0"/>
      <w:divBdr>
        <w:top w:val="none" w:sz="0" w:space="0" w:color="auto"/>
        <w:left w:val="none" w:sz="0" w:space="0" w:color="auto"/>
        <w:bottom w:val="none" w:sz="0" w:space="0" w:color="auto"/>
        <w:right w:val="none" w:sz="0" w:space="0" w:color="auto"/>
      </w:divBdr>
    </w:div>
    <w:div w:id="1408260030">
      <w:bodyDiv w:val="1"/>
      <w:marLeft w:val="0"/>
      <w:marRight w:val="0"/>
      <w:marTop w:val="0"/>
      <w:marBottom w:val="0"/>
      <w:divBdr>
        <w:top w:val="none" w:sz="0" w:space="0" w:color="auto"/>
        <w:left w:val="none" w:sz="0" w:space="0" w:color="auto"/>
        <w:bottom w:val="none" w:sz="0" w:space="0" w:color="auto"/>
        <w:right w:val="none" w:sz="0" w:space="0" w:color="auto"/>
      </w:divBdr>
      <w:divsChild>
        <w:div w:id="104886279">
          <w:marLeft w:val="0"/>
          <w:marRight w:val="0"/>
          <w:marTop w:val="0"/>
          <w:marBottom w:val="0"/>
          <w:divBdr>
            <w:top w:val="none" w:sz="0" w:space="0" w:color="auto"/>
            <w:left w:val="none" w:sz="0" w:space="0" w:color="auto"/>
            <w:bottom w:val="none" w:sz="0" w:space="0" w:color="auto"/>
            <w:right w:val="none" w:sz="0" w:space="0" w:color="auto"/>
          </w:divBdr>
        </w:div>
      </w:divsChild>
    </w:div>
    <w:div w:id="1414430224">
      <w:bodyDiv w:val="1"/>
      <w:marLeft w:val="0"/>
      <w:marRight w:val="0"/>
      <w:marTop w:val="0"/>
      <w:marBottom w:val="0"/>
      <w:divBdr>
        <w:top w:val="none" w:sz="0" w:space="0" w:color="auto"/>
        <w:left w:val="none" w:sz="0" w:space="0" w:color="auto"/>
        <w:bottom w:val="none" w:sz="0" w:space="0" w:color="auto"/>
        <w:right w:val="none" w:sz="0" w:space="0" w:color="auto"/>
      </w:divBdr>
      <w:divsChild>
        <w:div w:id="1920093131">
          <w:marLeft w:val="0"/>
          <w:marRight w:val="0"/>
          <w:marTop w:val="0"/>
          <w:marBottom w:val="0"/>
          <w:divBdr>
            <w:top w:val="none" w:sz="0" w:space="0" w:color="auto"/>
            <w:left w:val="none" w:sz="0" w:space="0" w:color="auto"/>
            <w:bottom w:val="none" w:sz="0" w:space="0" w:color="auto"/>
            <w:right w:val="none" w:sz="0" w:space="0" w:color="auto"/>
          </w:divBdr>
        </w:div>
      </w:divsChild>
    </w:div>
    <w:div w:id="1446653814">
      <w:bodyDiv w:val="1"/>
      <w:marLeft w:val="0"/>
      <w:marRight w:val="0"/>
      <w:marTop w:val="0"/>
      <w:marBottom w:val="0"/>
      <w:divBdr>
        <w:top w:val="none" w:sz="0" w:space="0" w:color="auto"/>
        <w:left w:val="none" w:sz="0" w:space="0" w:color="auto"/>
        <w:bottom w:val="none" w:sz="0" w:space="0" w:color="auto"/>
        <w:right w:val="none" w:sz="0" w:space="0" w:color="auto"/>
      </w:divBdr>
    </w:div>
    <w:div w:id="1447307902">
      <w:bodyDiv w:val="1"/>
      <w:marLeft w:val="0"/>
      <w:marRight w:val="0"/>
      <w:marTop w:val="0"/>
      <w:marBottom w:val="0"/>
      <w:divBdr>
        <w:top w:val="none" w:sz="0" w:space="0" w:color="auto"/>
        <w:left w:val="none" w:sz="0" w:space="0" w:color="auto"/>
        <w:bottom w:val="none" w:sz="0" w:space="0" w:color="auto"/>
        <w:right w:val="none" w:sz="0" w:space="0" w:color="auto"/>
      </w:divBdr>
      <w:divsChild>
        <w:div w:id="343947750">
          <w:marLeft w:val="0"/>
          <w:marRight w:val="0"/>
          <w:marTop w:val="0"/>
          <w:marBottom w:val="0"/>
          <w:divBdr>
            <w:top w:val="none" w:sz="0" w:space="0" w:color="auto"/>
            <w:left w:val="none" w:sz="0" w:space="0" w:color="auto"/>
            <w:bottom w:val="none" w:sz="0" w:space="0" w:color="auto"/>
            <w:right w:val="none" w:sz="0" w:space="0" w:color="auto"/>
          </w:divBdr>
        </w:div>
      </w:divsChild>
    </w:div>
    <w:div w:id="1447851470">
      <w:bodyDiv w:val="1"/>
      <w:marLeft w:val="0"/>
      <w:marRight w:val="0"/>
      <w:marTop w:val="0"/>
      <w:marBottom w:val="0"/>
      <w:divBdr>
        <w:top w:val="none" w:sz="0" w:space="0" w:color="auto"/>
        <w:left w:val="none" w:sz="0" w:space="0" w:color="auto"/>
        <w:bottom w:val="none" w:sz="0" w:space="0" w:color="auto"/>
        <w:right w:val="none" w:sz="0" w:space="0" w:color="auto"/>
      </w:divBdr>
      <w:divsChild>
        <w:div w:id="1497498756">
          <w:marLeft w:val="0"/>
          <w:marRight w:val="0"/>
          <w:marTop w:val="0"/>
          <w:marBottom w:val="0"/>
          <w:divBdr>
            <w:top w:val="none" w:sz="0" w:space="0" w:color="auto"/>
            <w:left w:val="none" w:sz="0" w:space="0" w:color="auto"/>
            <w:bottom w:val="none" w:sz="0" w:space="0" w:color="auto"/>
            <w:right w:val="none" w:sz="0" w:space="0" w:color="auto"/>
          </w:divBdr>
        </w:div>
      </w:divsChild>
    </w:div>
    <w:div w:id="1468939008">
      <w:bodyDiv w:val="1"/>
      <w:marLeft w:val="0"/>
      <w:marRight w:val="0"/>
      <w:marTop w:val="0"/>
      <w:marBottom w:val="0"/>
      <w:divBdr>
        <w:top w:val="none" w:sz="0" w:space="0" w:color="auto"/>
        <w:left w:val="none" w:sz="0" w:space="0" w:color="auto"/>
        <w:bottom w:val="none" w:sz="0" w:space="0" w:color="auto"/>
        <w:right w:val="none" w:sz="0" w:space="0" w:color="auto"/>
      </w:divBdr>
      <w:divsChild>
        <w:div w:id="1657029789">
          <w:marLeft w:val="0"/>
          <w:marRight w:val="0"/>
          <w:marTop w:val="0"/>
          <w:marBottom w:val="0"/>
          <w:divBdr>
            <w:top w:val="none" w:sz="0" w:space="0" w:color="auto"/>
            <w:left w:val="none" w:sz="0" w:space="0" w:color="auto"/>
            <w:bottom w:val="none" w:sz="0" w:space="0" w:color="auto"/>
            <w:right w:val="none" w:sz="0" w:space="0" w:color="auto"/>
          </w:divBdr>
        </w:div>
      </w:divsChild>
    </w:div>
    <w:div w:id="1475297115">
      <w:bodyDiv w:val="1"/>
      <w:marLeft w:val="0"/>
      <w:marRight w:val="0"/>
      <w:marTop w:val="0"/>
      <w:marBottom w:val="0"/>
      <w:divBdr>
        <w:top w:val="none" w:sz="0" w:space="0" w:color="auto"/>
        <w:left w:val="none" w:sz="0" w:space="0" w:color="auto"/>
        <w:bottom w:val="none" w:sz="0" w:space="0" w:color="auto"/>
        <w:right w:val="none" w:sz="0" w:space="0" w:color="auto"/>
      </w:divBdr>
    </w:div>
    <w:div w:id="1489906722">
      <w:bodyDiv w:val="1"/>
      <w:marLeft w:val="0"/>
      <w:marRight w:val="0"/>
      <w:marTop w:val="0"/>
      <w:marBottom w:val="0"/>
      <w:divBdr>
        <w:top w:val="none" w:sz="0" w:space="0" w:color="auto"/>
        <w:left w:val="none" w:sz="0" w:space="0" w:color="auto"/>
        <w:bottom w:val="none" w:sz="0" w:space="0" w:color="auto"/>
        <w:right w:val="none" w:sz="0" w:space="0" w:color="auto"/>
      </w:divBdr>
      <w:divsChild>
        <w:div w:id="1669291330">
          <w:marLeft w:val="0"/>
          <w:marRight w:val="0"/>
          <w:marTop w:val="0"/>
          <w:marBottom w:val="0"/>
          <w:divBdr>
            <w:top w:val="none" w:sz="0" w:space="0" w:color="auto"/>
            <w:left w:val="none" w:sz="0" w:space="0" w:color="auto"/>
            <w:bottom w:val="none" w:sz="0" w:space="0" w:color="auto"/>
            <w:right w:val="none" w:sz="0" w:space="0" w:color="auto"/>
          </w:divBdr>
        </w:div>
      </w:divsChild>
    </w:div>
    <w:div w:id="1510368116">
      <w:bodyDiv w:val="1"/>
      <w:marLeft w:val="0"/>
      <w:marRight w:val="0"/>
      <w:marTop w:val="0"/>
      <w:marBottom w:val="0"/>
      <w:divBdr>
        <w:top w:val="none" w:sz="0" w:space="0" w:color="auto"/>
        <w:left w:val="none" w:sz="0" w:space="0" w:color="auto"/>
        <w:bottom w:val="none" w:sz="0" w:space="0" w:color="auto"/>
        <w:right w:val="none" w:sz="0" w:space="0" w:color="auto"/>
      </w:divBdr>
    </w:div>
    <w:div w:id="1513301415">
      <w:bodyDiv w:val="1"/>
      <w:marLeft w:val="0"/>
      <w:marRight w:val="0"/>
      <w:marTop w:val="0"/>
      <w:marBottom w:val="0"/>
      <w:divBdr>
        <w:top w:val="none" w:sz="0" w:space="0" w:color="auto"/>
        <w:left w:val="none" w:sz="0" w:space="0" w:color="auto"/>
        <w:bottom w:val="none" w:sz="0" w:space="0" w:color="auto"/>
        <w:right w:val="none" w:sz="0" w:space="0" w:color="auto"/>
      </w:divBdr>
      <w:divsChild>
        <w:div w:id="580410513">
          <w:marLeft w:val="0"/>
          <w:marRight w:val="0"/>
          <w:marTop w:val="0"/>
          <w:marBottom w:val="0"/>
          <w:divBdr>
            <w:top w:val="none" w:sz="0" w:space="0" w:color="auto"/>
            <w:left w:val="none" w:sz="0" w:space="0" w:color="auto"/>
            <w:bottom w:val="none" w:sz="0" w:space="0" w:color="auto"/>
            <w:right w:val="none" w:sz="0" w:space="0" w:color="auto"/>
          </w:divBdr>
        </w:div>
      </w:divsChild>
    </w:div>
    <w:div w:id="1518806533">
      <w:bodyDiv w:val="1"/>
      <w:marLeft w:val="0"/>
      <w:marRight w:val="0"/>
      <w:marTop w:val="0"/>
      <w:marBottom w:val="0"/>
      <w:divBdr>
        <w:top w:val="none" w:sz="0" w:space="0" w:color="auto"/>
        <w:left w:val="none" w:sz="0" w:space="0" w:color="auto"/>
        <w:bottom w:val="none" w:sz="0" w:space="0" w:color="auto"/>
        <w:right w:val="none" w:sz="0" w:space="0" w:color="auto"/>
      </w:divBdr>
    </w:div>
    <w:div w:id="1524898860">
      <w:bodyDiv w:val="1"/>
      <w:marLeft w:val="0"/>
      <w:marRight w:val="0"/>
      <w:marTop w:val="0"/>
      <w:marBottom w:val="0"/>
      <w:divBdr>
        <w:top w:val="none" w:sz="0" w:space="0" w:color="auto"/>
        <w:left w:val="none" w:sz="0" w:space="0" w:color="auto"/>
        <w:bottom w:val="none" w:sz="0" w:space="0" w:color="auto"/>
        <w:right w:val="none" w:sz="0" w:space="0" w:color="auto"/>
      </w:divBdr>
    </w:div>
    <w:div w:id="1542673691">
      <w:bodyDiv w:val="1"/>
      <w:marLeft w:val="0"/>
      <w:marRight w:val="0"/>
      <w:marTop w:val="0"/>
      <w:marBottom w:val="0"/>
      <w:divBdr>
        <w:top w:val="none" w:sz="0" w:space="0" w:color="auto"/>
        <w:left w:val="none" w:sz="0" w:space="0" w:color="auto"/>
        <w:bottom w:val="none" w:sz="0" w:space="0" w:color="auto"/>
        <w:right w:val="none" w:sz="0" w:space="0" w:color="auto"/>
      </w:divBdr>
    </w:div>
    <w:div w:id="1547523644">
      <w:bodyDiv w:val="1"/>
      <w:marLeft w:val="0"/>
      <w:marRight w:val="0"/>
      <w:marTop w:val="0"/>
      <w:marBottom w:val="0"/>
      <w:divBdr>
        <w:top w:val="none" w:sz="0" w:space="0" w:color="auto"/>
        <w:left w:val="none" w:sz="0" w:space="0" w:color="auto"/>
        <w:bottom w:val="none" w:sz="0" w:space="0" w:color="auto"/>
        <w:right w:val="none" w:sz="0" w:space="0" w:color="auto"/>
      </w:divBdr>
      <w:divsChild>
        <w:div w:id="1335911950">
          <w:marLeft w:val="0"/>
          <w:marRight w:val="0"/>
          <w:marTop w:val="0"/>
          <w:marBottom w:val="0"/>
          <w:divBdr>
            <w:top w:val="single" w:sz="6" w:space="8" w:color="EEEEEE"/>
            <w:left w:val="none" w:sz="0" w:space="0" w:color="auto"/>
            <w:bottom w:val="none" w:sz="0" w:space="0" w:color="auto"/>
            <w:right w:val="none" w:sz="0" w:space="0" w:color="auto"/>
          </w:divBdr>
        </w:div>
      </w:divsChild>
    </w:div>
    <w:div w:id="1616214154">
      <w:bodyDiv w:val="1"/>
      <w:marLeft w:val="0"/>
      <w:marRight w:val="0"/>
      <w:marTop w:val="0"/>
      <w:marBottom w:val="0"/>
      <w:divBdr>
        <w:top w:val="none" w:sz="0" w:space="0" w:color="auto"/>
        <w:left w:val="none" w:sz="0" w:space="0" w:color="auto"/>
        <w:bottom w:val="none" w:sz="0" w:space="0" w:color="auto"/>
        <w:right w:val="none" w:sz="0" w:space="0" w:color="auto"/>
      </w:divBdr>
    </w:div>
    <w:div w:id="1620379528">
      <w:bodyDiv w:val="1"/>
      <w:marLeft w:val="0"/>
      <w:marRight w:val="0"/>
      <w:marTop w:val="0"/>
      <w:marBottom w:val="0"/>
      <w:divBdr>
        <w:top w:val="none" w:sz="0" w:space="0" w:color="auto"/>
        <w:left w:val="none" w:sz="0" w:space="0" w:color="auto"/>
        <w:bottom w:val="none" w:sz="0" w:space="0" w:color="auto"/>
        <w:right w:val="none" w:sz="0" w:space="0" w:color="auto"/>
      </w:divBdr>
      <w:divsChild>
        <w:div w:id="1100025953">
          <w:marLeft w:val="0"/>
          <w:marRight w:val="0"/>
          <w:marTop w:val="0"/>
          <w:marBottom w:val="0"/>
          <w:divBdr>
            <w:top w:val="none" w:sz="0" w:space="0" w:color="auto"/>
            <w:left w:val="none" w:sz="0" w:space="0" w:color="auto"/>
            <w:bottom w:val="none" w:sz="0" w:space="0" w:color="auto"/>
            <w:right w:val="none" w:sz="0" w:space="0" w:color="auto"/>
          </w:divBdr>
        </w:div>
      </w:divsChild>
    </w:div>
    <w:div w:id="1626698088">
      <w:bodyDiv w:val="1"/>
      <w:marLeft w:val="0"/>
      <w:marRight w:val="0"/>
      <w:marTop w:val="0"/>
      <w:marBottom w:val="0"/>
      <w:divBdr>
        <w:top w:val="none" w:sz="0" w:space="0" w:color="auto"/>
        <w:left w:val="none" w:sz="0" w:space="0" w:color="auto"/>
        <w:bottom w:val="none" w:sz="0" w:space="0" w:color="auto"/>
        <w:right w:val="none" w:sz="0" w:space="0" w:color="auto"/>
      </w:divBdr>
      <w:divsChild>
        <w:div w:id="1344742321">
          <w:marLeft w:val="0"/>
          <w:marRight w:val="0"/>
          <w:marTop w:val="0"/>
          <w:marBottom w:val="0"/>
          <w:divBdr>
            <w:top w:val="none" w:sz="0" w:space="0" w:color="auto"/>
            <w:left w:val="none" w:sz="0" w:space="0" w:color="auto"/>
            <w:bottom w:val="none" w:sz="0" w:space="0" w:color="auto"/>
            <w:right w:val="none" w:sz="0" w:space="0" w:color="auto"/>
          </w:divBdr>
        </w:div>
      </w:divsChild>
    </w:div>
    <w:div w:id="1627857043">
      <w:bodyDiv w:val="1"/>
      <w:marLeft w:val="0"/>
      <w:marRight w:val="0"/>
      <w:marTop w:val="0"/>
      <w:marBottom w:val="0"/>
      <w:divBdr>
        <w:top w:val="none" w:sz="0" w:space="0" w:color="auto"/>
        <w:left w:val="none" w:sz="0" w:space="0" w:color="auto"/>
        <w:bottom w:val="none" w:sz="0" w:space="0" w:color="auto"/>
        <w:right w:val="none" w:sz="0" w:space="0" w:color="auto"/>
      </w:divBdr>
      <w:divsChild>
        <w:div w:id="400913575">
          <w:marLeft w:val="0"/>
          <w:marRight w:val="0"/>
          <w:marTop w:val="0"/>
          <w:marBottom w:val="0"/>
          <w:divBdr>
            <w:top w:val="none" w:sz="0" w:space="0" w:color="auto"/>
            <w:left w:val="none" w:sz="0" w:space="0" w:color="auto"/>
            <w:bottom w:val="none" w:sz="0" w:space="0" w:color="auto"/>
            <w:right w:val="none" w:sz="0" w:space="0" w:color="auto"/>
          </w:divBdr>
        </w:div>
      </w:divsChild>
    </w:div>
    <w:div w:id="1657682598">
      <w:bodyDiv w:val="1"/>
      <w:marLeft w:val="0"/>
      <w:marRight w:val="0"/>
      <w:marTop w:val="0"/>
      <w:marBottom w:val="0"/>
      <w:divBdr>
        <w:top w:val="none" w:sz="0" w:space="0" w:color="auto"/>
        <w:left w:val="none" w:sz="0" w:space="0" w:color="auto"/>
        <w:bottom w:val="none" w:sz="0" w:space="0" w:color="auto"/>
        <w:right w:val="none" w:sz="0" w:space="0" w:color="auto"/>
      </w:divBdr>
      <w:divsChild>
        <w:div w:id="2043506405">
          <w:marLeft w:val="0"/>
          <w:marRight w:val="0"/>
          <w:marTop w:val="0"/>
          <w:marBottom w:val="0"/>
          <w:divBdr>
            <w:top w:val="none" w:sz="0" w:space="0" w:color="auto"/>
            <w:left w:val="none" w:sz="0" w:space="0" w:color="auto"/>
            <w:bottom w:val="none" w:sz="0" w:space="0" w:color="auto"/>
            <w:right w:val="none" w:sz="0" w:space="0" w:color="auto"/>
          </w:divBdr>
        </w:div>
      </w:divsChild>
    </w:div>
    <w:div w:id="1671055086">
      <w:bodyDiv w:val="1"/>
      <w:marLeft w:val="0"/>
      <w:marRight w:val="0"/>
      <w:marTop w:val="0"/>
      <w:marBottom w:val="0"/>
      <w:divBdr>
        <w:top w:val="none" w:sz="0" w:space="0" w:color="auto"/>
        <w:left w:val="none" w:sz="0" w:space="0" w:color="auto"/>
        <w:bottom w:val="none" w:sz="0" w:space="0" w:color="auto"/>
        <w:right w:val="none" w:sz="0" w:space="0" w:color="auto"/>
      </w:divBdr>
      <w:divsChild>
        <w:div w:id="13046444">
          <w:marLeft w:val="0"/>
          <w:marRight w:val="0"/>
          <w:marTop w:val="0"/>
          <w:marBottom w:val="0"/>
          <w:divBdr>
            <w:top w:val="none" w:sz="0" w:space="0" w:color="auto"/>
            <w:left w:val="none" w:sz="0" w:space="0" w:color="auto"/>
            <w:bottom w:val="none" w:sz="0" w:space="0" w:color="auto"/>
            <w:right w:val="none" w:sz="0" w:space="0" w:color="auto"/>
          </w:divBdr>
        </w:div>
      </w:divsChild>
    </w:div>
    <w:div w:id="1672902265">
      <w:bodyDiv w:val="1"/>
      <w:marLeft w:val="0"/>
      <w:marRight w:val="0"/>
      <w:marTop w:val="0"/>
      <w:marBottom w:val="0"/>
      <w:divBdr>
        <w:top w:val="none" w:sz="0" w:space="0" w:color="auto"/>
        <w:left w:val="none" w:sz="0" w:space="0" w:color="auto"/>
        <w:bottom w:val="none" w:sz="0" w:space="0" w:color="auto"/>
        <w:right w:val="none" w:sz="0" w:space="0" w:color="auto"/>
      </w:divBdr>
      <w:divsChild>
        <w:div w:id="686909073">
          <w:marLeft w:val="0"/>
          <w:marRight w:val="0"/>
          <w:marTop w:val="0"/>
          <w:marBottom w:val="0"/>
          <w:divBdr>
            <w:top w:val="none" w:sz="0" w:space="0" w:color="auto"/>
            <w:left w:val="none" w:sz="0" w:space="0" w:color="auto"/>
            <w:bottom w:val="none" w:sz="0" w:space="0" w:color="auto"/>
            <w:right w:val="none" w:sz="0" w:space="0" w:color="auto"/>
          </w:divBdr>
        </w:div>
      </w:divsChild>
    </w:div>
    <w:div w:id="1690834038">
      <w:bodyDiv w:val="1"/>
      <w:marLeft w:val="0"/>
      <w:marRight w:val="0"/>
      <w:marTop w:val="0"/>
      <w:marBottom w:val="0"/>
      <w:divBdr>
        <w:top w:val="none" w:sz="0" w:space="0" w:color="auto"/>
        <w:left w:val="none" w:sz="0" w:space="0" w:color="auto"/>
        <w:bottom w:val="none" w:sz="0" w:space="0" w:color="auto"/>
        <w:right w:val="none" w:sz="0" w:space="0" w:color="auto"/>
      </w:divBdr>
      <w:divsChild>
        <w:div w:id="2067145710">
          <w:marLeft w:val="0"/>
          <w:marRight w:val="0"/>
          <w:marTop w:val="0"/>
          <w:marBottom w:val="0"/>
          <w:divBdr>
            <w:top w:val="none" w:sz="0" w:space="0" w:color="auto"/>
            <w:left w:val="none" w:sz="0" w:space="0" w:color="auto"/>
            <w:bottom w:val="none" w:sz="0" w:space="0" w:color="auto"/>
            <w:right w:val="none" w:sz="0" w:space="0" w:color="auto"/>
          </w:divBdr>
        </w:div>
      </w:divsChild>
    </w:div>
    <w:div w:id="1713849465">
      <w:bodyDiv w:val="1"/>
      <w:marLeft w:val="0"/>
      <w:marRight w:val="0"/>
      <w:marTop w:val="0"/>
      <w:marBottom w:val="0"/>
      <w:divBdr>
        <w:top w:val="none" w:sz="0" w:space="0" w:color="auto"/>
        <w:left w:val="none" w:sz="0" w:space="0" w:color="auto"/>
        <w:bottom w:val="none" w:sz="0" w:space="0" w:color="auto"/>
        <w:right w:val="none" w:sz="0" w:space="0" w:color="auto"/>
      </w:divBdr>
      <w:divsChild>
        <w:div w:id="1782797330">
          <w:marLeft w:val="0"/>
          <w:marRight w:val="0"/>
          <w:marTop w:val="0"/>
          <w:marBottom w:val="0"/>
          <w:divBdr>
            <w:top w:val="none" w:sz="0" w:space="0" w:color="auto"/>
            <w:left w:val="none" w:sz="0" w:space="0" w:color="auto"/>
            <w:bottom w:val="none" w:sz="0" w:space="0" w:color="auto"/>
            <w:right w:val="none" w:sz="0" w:space="0" w:color="auto"/>
          </w:divBdr>
        </w:div>
      </w:divsChild>
    </w:div>
    <w:div w:id="1730181494">
      <w:bodyDiv w:val="1"/>
      <w:marLeft w:val="0"/>
      <w:marRight w:val="0"/>
      <w:marTop w:val="0"/>
      <w:marBottom w:val="0"/>
      <w:divBdr>
        <w:top w:val="none" w:sz="0" w:space="0" w:color="auto"/>
        <w:left w:val="none" w:sz="0" w:space="0" w:color="auto"/>
        <w:bottom w:val="none" w:sz="0" w:space="0" w:color="auto"/>
        <w:right w:val="none" w:sz="0" w:space="0" w:color="auto"/>
      </w:divBdr>
      <w:divsChild>
        <w:div w:id="1216701706">
          <w:marLeft w:val="0"/>
          <w:marRight w:val="0"/>
          <w:marTop w:val="0"/>
          <w:marBottom w:val="0"/>
          <w:divBdr>
            <w:top w:val="none" w:sz="0" w:space="0" w:color="auto"/>
            <w:left w:val="none" w:sz="0" w:space="0" w:color="auto"/>
            <w:bottom w:val="none" w:sz="0" w:space="0" w:color="auto"/>
            <w:right w:val="none" w:sz="0" w:space="0" w:color="auto"/>
          </w:divBdr>
        </w:div>
      </w:divsChild>
    </w:div>
    <w:div w:id="1738626976">
      <w:bodyDiv w:val="1"/>
      <w:marLeft w:val="0"/>
      <w:marRight w:val="0"/>
      <w:marTop w:val="0"/>
      <w:marBottom w:val="0"/>
      <w:divBdr>
        <w:top w:val="none" w:sz="0" w:space="0" w:color="auto"/>
        <w:left w:val="none" w:sz="0" w:space="0" w:color="auto"/>
        <w:bottom w:val="none" w:sz="0" w:space="0" w:color="auto"/>
        <w:right w:val="none" w:sz="0" w:space="0" w:color="auto"/>
      </w:divBdr>
    </w:div>
    <w:div w:id="1773470056">
      <w:bodyDiv w:val="1"/>
      <w:marLeft w:val="0"/>
      <w:marRight w:val="0"/>
      <w:marTop w:val="0"/>
      <w:marBottom w:val="0"/>
      <w:divBdr>
        <w:top w:val="none" w:sz="0" w:space="0" w:color="auto"/>
        <w:left w:val="none" w:sz="0" w:space="0" w:color="auto"/>
        <w:bottom w:val="none" w:sz="0" w:space="0" w:color="auto"/>
        <w:right w:val="none" w:sz="0" w:space="0" w:color="auto"/>
      </w:divBdr>
      <w:divsChild>
        <w:div w:id="1523859730">
          <w:marLeft w:val="0"/>
          <w:marRight w:val="0"/>
          <w:marTop w:val="0"/>
          <w:marBottom w:val="0"/>
          <w:divBdr>
            <w:top w:val="none" w:sz="0" w:space="0" w:color="auto"/>
            <w:left w:val="none" w:sz="0" w:space="0" w:color="auto"/>
            <w:bottom w:val="none" w:sz="0" w:space="0" w:color="auto"/>
            <w:right w:val="none" w:sz="0" w:space="0" w:color="auto"/>
          </w:divBdr>
        </w:div>
      </w:divsChild>
    </w:div>
    <w:div w:id="1789818446">
      <w:bodyDiv w:val="1"/>
      <w:marLeft w:val="0"/>
      <w:marRight w:val="0"/>
      <w:marTop w:val="0"/>
      <w:marBottom w:val="0"/>
      <w:divBdr>
        <w:top w:val="none" w:sz="0" w:space="0" w:color="auto"/>
        <w:left w:val="none" w:sz="0" w:space="0" w:color="auto"/>
        <w:bottom w:val="none" w:sz="0" w:space="0" w:color="auto"/>
        <w:right w:val="none" w:sz="0" w:space="0" w:color="auto"/>
      </w:divBdr>
      <w:divsChild>
        <w:div w:id="1347289544">
          <w:marLeft w:val="0"/>
          <w:marRight w:val="0"/>
          <w:marTop w:val="0"/>
          <w:marBottom w:val="0"/>
          <w:divBdr>
            <w:top w:val="none" w:sz="0" w:space="0" w:color="auto"/>
            <w:left w:val="none" w:sz="0" w:space="0" w:color="auto"/>
            <w:bottom w:val="none" w:sz="0" w:space="0" w:color="auto"/>
            <w:right w:val="none" w:sz="0" w:space="0" w:color="auto"/>
          </w:divBdr>
        </w:div>
      </w:divsChild>
    </w:div>
    <w:div w:id="1802721441">
      <w:bodyDiv w:val="1"/>
      <w:marLeft w:val="0"/>
      <w:marRight w:val="0"/>
      <w:marTop w:val="0"/>
      <w:marBottom w:val="0"/>
      <w:divBdr>
        <w:top w:val="none" w:sz="0" w:space="0" w:color="auto"/>
        <w:left w:val="none" w:sz="0" w:space="0" w:color="auto"/>
        <w:bottom w:val="none" w:sz="0" w:space="0" w:color="auto"/>
        <w:right w:val="none" w:sz="0" w:space="0" w:color="auto"/>
      </w:divBdr>
      <w:divsChild>
        <w:div w:id="2098090032">
          <w:marLeft w:val="0"/>
          <w:marRight w:val="0"/>
          <w:marTop w:val="0"/>
          <w:marBottom w:val="0"/>
          <w:divBdr>
            <w:top w:val="none" w:sz="0" w:space="0" w:color="auto"/>
            <w:left w:val="none" w:sz="0" w:space="0" w:color="auto"/>
            <w:bottom w:val="none" w:sz="0" w:space="0" w:color="auto"/>
            <w:right w:val="none" w:sz="0" w:space="0" w:color="auto"/>
          </w:divBdr>
        </w:div>
      </w:divsChild>
    </w:div>
    <w:div w:id="1804806517">
      <w:bodyDiv w:val="1"/>
      <w:marLeft w:val="0"/>
      <w:marRight w:val="0"/>
      <w:marTop w:val="0"/>
      <w:marBottom w:val="0"/>
      <w:divBdr>
        <w:top w:val="none" w:sz="0" w:space="0" w:color="auto"/>
        <w:left w:val="none" w:sz="0" w:space="0" w:color="auto"/>
        <w:bottom w:val="none" w:sz="0" w:space="0" w:color="auto"/>
        <w:right w:val="none" w:sz="0" w:space="0" w:color="auto"/>
      </w:divBdr>
    </w:div>
    <w:div w:id="1808551904">
      <w:bodyDiv w:val="1"/>
      <w:marLeft w:val="0"/>
      <w:marRight w:val="0"/>
      <w:marTop w:val="0"/>
      <w:marBottom w:val="0"/>
      <w:divBdr>
        <w:top w:val="none" w:sz="0" w:space="0" w:color="auto"/>
        <w:left w:val="none" w:sz="0" w:space="0" w:color="auto"/>
        <w:bottom w:val="none" w:sz="0" w:space="0" w:color="auto"/>
        <w:right w:val="none" w:sz="0" w:space="0" w:color="auto"/>
      </w:divBdr>
      <w:divsChild>
        <w:div w:id="386731368">
          <w:marLeft w:val="0"/>
          <w:marRight w:val="0"/>
          <w:marTop w:val="0"/>
          <w:marBottom w:val="0"/>
          <w:divBdr>
            <w:top w:val="none" w:sz="0" w:space="0" w:color="auto"/>
            <w:left w:val="none" w:sz="0" w:space="0" w:color="auto"/>
            <w:bottom w:val="none" w:sz="0" w:space="0" w:color="auto"/>
            <w:right w:val="none" w:sz="0" w:space="0" w:color="auto"/>
          </w:divBdr>
        </w:div>
      </w:divsChild>
    </w:div>
    <w:div w:id="1815414481">
      <w:bodyDiv w:val="1"/>
      <w:marLeft w:val="0"/>
      <w:marRight w:val="0"/>
      <w:marTop w:val="0"/>
      <w:marBottom w:val="0"/>
      <w:divBdr>
        <w:top w:val="none" w:sz="0" w:space="0" w:color="auto"/>
        <w:left w:val="none" w:sz="0" w:space="0" w:color="auto"/>
        <w:bottom w:val="none" w:sz="0" w:space="0" w:color="auto"/>
        <w:right w:val="none" w:sz="0" w:space="0" w:color="auto"/>
      </w:divBdr>
      <w:divsChild>
        <w:div w:id="1623877619">
          <w:marLeft w:val="0"/>
          <w:marRight w:val="0"/>
          <w:marTop w:val="0"/>
          <w:marBottom w:val="0"/>
          <w:divBdr>
            <w:top w:val="none" w:sz="0" w:space="0" w:color="auto"/>
            <w:left w:val="none" w:sz="0" w:space="0" w:color="auto"/>
            <w:bottom w:val="none" w:sz="0" w:space="0" w:color="auto"/>
            <w:right w:val="none" w:sz="0" w:space="0" w:color="auto"/>
          </w:divBdr>
        </w:div>
      </w:divsChild>
    </w:div>
    <w:div w:id="1824006741">
      <w:bodyDiv w:val="1"/>
      <w:marLeft w:val="0"/>
      <w:marRight w:val="0"/>
      <w:marTop w:val="0"/>
      <w:marBottom w:val="0"/>
      <w:divBdr>
        <w:top w:val="none" w:sz="0" w:space="0" w:color="auto"/>
        <w:left w:val="none" w:sz="0" w:space="0" w:color="auto"/>
        <w:bottom w:val="none" w:sz="0" w:space="0" w:color="auto"/>
        <w:right w:val="none" w:sz="0" w:space="0" w:color="auto"/>
      </w:divBdr>
    </w:div>
    <w:div w:id="1866752383">
      <w:bodyDiv w:val="1"/>
      <w:marLeft w:val="0"/>
      <w:marRight w:val="0"/>
      <w:marTop w:val="0"/>
      <w:marBottom w:val="0"/>
      <w:divBdr>
        <w:top w:val="none" w:sz="0" w:space="0" w:color="auto"/>
        <w:left w:val="none" w:sz="0" w:space="0" w:color="auto"/>
        <w:bottom w:val="none" w:sz="0" w:space="0" w:color="auto"/>
        <w:right w:val="none" w:sz="0" w:space="0" w:color="auto"/>
      </w:divBdr>
      <w:divsChild>
        <w:div w:id="798495551">
          <w:marLeft w:val="0"/>
          <w:marRight w:val="0"/>
          <w:marTop w:val="0"/>
          <w:marBottom w:val="0"/>
          <w:divBdr>
            <w:top w:val="none" w:sz="0" w:space="0" w:color="auto"/>
            <w:left w:val="none" w:sz="0" w:space="0" w:color="auto"/>
            <w:bottom w:val="none" w:sz="0" w:space="0" w:color="auto"/>
            <w:right w:val="none" w:sz="0" w:space="0" w:color="auto"/>
          </w:divBdr>
        </w:div>
      </w:divsChild>
    </w:div>
    <w:div w:id="1879732224">
      <w:bodyDiv w:val="1"/>
      <w:marLeft w:val="0"/>
      <w:marRight w:val="0"/>
      <w:marTop w:val="0"/>
      <w:marBottom w:val="0"/>
      <w:divBdr>
        <w:top w:val="none" w:sz="0" w:space="0" w:color="auto"/>
        <w:left w:val="none" w:sz="0" w:space="0" w:color="auto"/>
        <w:bottom w:val="none" w:sz="0" w:space="0" w:color="auto"/>
        <w:right w:val="none" w:sz="0" w:space="0" w:color="auto"/>
      </w:divBdr>
      <w:divsChild>
        <w:div w:id="1478449318">
          <w:marLeft w:val="0"/>
          <w:marRight w:val="0"/>
          <w:marTop w:val="0"/>
          <w:marBottom w:val="0"/>
          <w:divBdr>
            <w:top w:val="none" w:sz="0" w:space="0" w:color="auto"/>
            <w:left w:val="none" w:sz="0" w:space="0" w:color="auto"/>
            <w:bottom w:val="none" w:sz="0" w:space="0" w:color="auto"/>
            <w:right w:val="none" w:sz="0" w:space="0" w:color="auto"/>
          </w:divBdr>
        </w:div>
      </w:divsChild>
    </w:div>
    <w:div w:id="1904561378">
      <w:bodyDiv w:val="1"/>
      <w:marLeft w:val="0"/>
      <w:marRight w:val="0"/>
      <w:marTop w:val="0"/>
      <w:marBottom w:val="0"/>
      <w:divBdr>
        <w:top w:val="none" w:sz="0" w:space="0" w:color="auto"/>
        <w:left w:val="none" w:sz="0" w:space="0" w:color="auto"/>
        <w:bottom w:val="none" w:sz="0" w:space="0" w:color="auto"/>
        <w:right w:val="none" w:sz="0" w:space="0" w:color="auto"/>
      </w:divBdr>
    </w:div>
    <w:div w:id="1907953730">
      <w:bodyDiv w:val="1"/>
      <w:marLeft w:val="0"/>
      <w:marRight w:val="0"/>
      <w:marTop w:val="0"/>
      <w:marBottom w:val="0"/>
      <w:divBdr>
        <w:top w:val="none" w:sz="0" w:space="0" w:color="auto"/>
        <w:left w:val="none" w:sz="0" w:space="0" w:color="auto"/>
        <w:bottom w:val="none" w:sz="0" w:space="0" w:color="auto"/>
        <w:right w:val="none" w:sz="0" w:space="0" w:color="auto"/>
      </w:divBdr>
      <w:divsChild>
        <w:div w:id="129131043">
          <w:marLeft w:val="0"/>
          <w:marRight w:val="0"/>
          <w:marTop w:val="0"/>
          <w:marBottom w:val="0"/>
          <w:divBdr>
            <w:top w:val="none" w:sz="0" w:space="0" w:color="auto"/>
            <w:left w:val="none" w:sz="0" w:space="0" w:color="auto"/>
            <w:bottom w:val="none" w:sz="0" w:space="0" w:color="auto"/>
            <w:right w:val="none" w:sz="0" w:space="0" w:color="auto"/>
          </w:divBdr>
        </w:div>
      </w:divsChild>
    </w:div>
    <w:div w:id="1919483916">
      <w:bodyDiv w:val="1"/>
      <w:marLeft w:val="0"/>
      <w:marRight w:val="0"/>
      <w:marTop w:val="0"/>
      <w:marBottom w:val="0"/>
      <w:divBdr>
        <w:top w:val="none" w:sz="0" w:space="0" w:color="auto"/>
        <w:left w:val="none" w:sz="0" w:space="0" w:color="auto"/>
        <w:bottom w:val="none" w:sz="0" w:space="0" w:color="auto"/>
        <w:right w:val="none" w:sz="0" w:space="0" w:color="auto"/>
      </w:divBdr>
    </w:div>
    <w:div w:id="1930381947">
      <w:bodyDiv w:val="1"/>
      <w:marLeft w:val="0"/>
      <w:marRight w:val="0"/>
      <w:marTop w:val="0"/>
      <w:marBottom w:val="0"/>
      <w:divBdr>
        <w:top w:val="none" w:sz="0" w:space="0" w:color="auto"/>
        <w:left w:val="none" w:sz="0" w:space="0" w:color="auto"/>
        <w:bottom w:val="none" w:sz="0" w:space="0" w:color="auto"/>
        <w:right w:val="none" w:sz="0" w:space="0" w:color="auto"/>
      </w:divBdr>
    </w:div>
    <w:div w:id="1934362251">
      <w:bodyDiv w:val="1"/>
      <w:marLeft w:val="0"/>
      <w:marRight w:val="0"/>
      <w:marTop w:val="0"/>
      <w:marBottom w:val="0"/>
      <w:divBdr>
        <w:top w:val="none" w:sz="0" w:space="0" w:color="auto"/>
        <w:left w:val="none" w:sz="0" w:space="0" w:color="auto"/>
        <w:bottom w:val="none" w:sz="0" w:space="0" w:color="auto"/>
        <w:right w:val="none" w:sz="0" w:space="0" w:color="auto"/>
      </w:divBdr>
      <w:divsChild>
        <w:div w:id="843982837">
          <w:marLeft w:val="0"/>
          <w:marRight w:val="0"/>
          <w:marTop w:val="0"/>
          <w:marBottom w:val="0"/>
          <w:divBdr>
            <w:top w:val="none" w:sz="0" w:space="0" w:color="auto"/>
            <w:left w:val="none" w:sz="0" w:space="0" w:color="auto"/>
            <w:bottom w:val="none" w:sz="0" w:space="0" w:color="auto"/>
            <w:right w:val="none" w:sz="0" w:space="0" w:color="auto"/>
          </w:divBdr>
        </w:div>
      </w:divsChild>
    </w:div>
    <w:div w:id="1953004919">
      <w:bodyDiv w:val="1"/>
      <w:marLeft w:val="0"/>
      <w:marRight w:val="0"/>
      <w:marTop w:val="0"/>
      <w:marBottom w:val="0"/>
      <w:divBdr>
        <w:top w:val="none" w:sz="0" w:space="0" w:color="auto"/>
        <w:left w:val="none" w:sz="0" w:space="0" w:color="auto"/>
        <w:bottom w:val="none" w:sz="0" w:space="0" w:color="auto"/>
        <w:right w:val="none" w:sz="0" w:space="0" w:color="auto"/>
      </w:divBdr>
    </w:div>
    <w:div w:id="1953972435">
      <w:bodyDiv w:val="1"/>
      <w:marLeft w:val="0"/>
      <w:marRight w:val="0"/>
      <w:marTop w:val="0"/>
      <w:marBottom w:val="0"/>
      <w:divBdr>
        <w:top w:val="none" w:sz="0" w:space="0" w:color="auto"/>
        <w:left w:val="none" w:sz="0" w:space="0" w:color="auto"/>
        <w:bottom w:val="none" w:sz="0" w:space="0" w:color="auto"/>
        <w:right w:val="none" w:sz="0" w:space="0" w:color="auto"/>
      </w:divBdr>
    </w:div>
    <w:div w:id="1955090030">
      <w:bodyDiv w:val="1"/>
      <w:marLeft w:val="0"/>
      <w:marRight w:val="0"/>
      <w:marTop w:val="0"/>
      <w:marBottom w:val="0"/>
      <w:divBdr>
        <w:top w:val="none" w:sz="0" w:space="0" w:color="auto"/>
        <w:left w:val="none" w:sz="0" w:space="0" w:color="auto"/>
        <w:bottom w:val="none" w:sz="0" w:space="0" w:color="auto"/>
        <w:right w:val="none" w:sz="0" w:space="0" w:color="auto"/>
      </w:divBdr>
      <w:divsChild>
        <w:div w:id="1505048616">
          <w:marLeft w:val="0"/>
          <w:marRight w:val="0"/>
          <w:marTop w:val="0"/>
          <w:marBottom w:val="0"/>
          <w:divBdr>
            <w:top w:val="none" w:sz="0" w:space="0" w:color="auto"/>
            <w:left w:val="none" w:sz="0" w:space="0" w:color="auto"/>
            <w:bottom w:val="none" w:sz="0" w:space="0" w:color="auto"/>
            <w:right w:val="none" w:sz="0" w:space="0" w:color="auto"/>
          </w:divBdr>
        </w:div>
      </w:divsChild>
    </w:div>
    <w:div w:id="1959604597">
      <w:bodyDiv w:val="1"/>
      <w:marLeft w:val="0"/>
      <w:marRight w:val="0"/>
      <w:marTop w:val="0"/>
      <w:marBottom w:val="0"/>
      <w:divBdr>
        <w:top w:val="none" w:sz="0" w:space="0" w:color="auto"/>
        <w:left w:val="none" w:sz="0" w:space="0" w:color="auto"/>
        <w:bottom w:val="none" w:sz="0" w:space="0" w:color="auto"/>
        <w:right w:val="none" w:sz="0" w:space="0" w:color="auto"/>
      </w:divBdr>
      <w:divsChild>
        <w:div w:id="829755686">
          <w:marLeft w:val="0"/>
          <w:marRight w:val="0"/>
          <w:marTop w:val="0"/>
          <w:marBottom w:val="0"/>
          <w:divBdr>
            <w:top w:val="none" w:sz="0" w:space="0" w:color="auto"/>
            <w:left w:val="none" w:sz="0" w:space="0" w:color="auto"/>
            <w:bottom w:val="none" w:sz="0" w:space="0" w:color="auto"/>
            <w:right w:val="none" w:sz="0" w:space="0" w:color="auto"/>
          </w:divBdr>
        </w:div>
      </w:divsChild>
    </w:div>
    <w:div w:id="1967420604">
      <w:bodyDiv w:val="1"/>
      <w:marLeft w:val="0"/>
      <w:marRight w:val="0"/>
      <w:marTop w:val="0"/>
      <w:marBottom w:val="0"/>
      <w:divBdr>
        <w:top w:val="none" w:sz="0" w:space="0" w:color="auto"/>
        <w:left w:val="none" w:sz="0" w:space="0" w:color="auto"/>
        <w:bottom w:val="none" w:sz="0" w:space="0" w:color="auto"/>
        <w:right w:val="none" w:sz="0" w:space="0" w:color="auto"/>
      </w:divBdr>
      <w:divsChild>
        <w:div w:id="496309356">
          <w:marLeft w:val="0"/>
          <w:marRight w:val="0"/>
          <w:marTop w:val="0"/>
          <w:marBottom w:val="0"/>
          <w:divBdr>
            <w:top w:val="none" w:sz="0" w:space="0" w:color="auto"/>
            <w:left w:val="none" w:sz="0" w:space="0" w:color="auto"/>
            <w:bottom w:val="none" w:sz="0" w:space="0" w:color="auto"/>
            <w:right w:val="none" w:sz="0" w:space="0" w:color="auto"/>
          </w:divBdr>
        </w:div>
      </w:divsChild>
    </w:div>
    <w:div w:id="1968007435">
      <w:bodyDiv w:val="1"/>
      <w:marLeft w:val="0"/>
      <w:marRight w:val="0"/>
      <w:marTop w:val="0"/>
      <w:marBottom w:val="0"/>
      <w:divBdr>
        <w:top w:val="none" w:sz="0" w:space="0" w:color="auto"/>
        <w:left w:val="none" w:sz="0" w:space="0" w:color="auto"/>
        <w:bottom w:val="none" w:sz="0" w:space="0" w:color="auto"/>
        <w:right w:val="none" w:sz="0" w:space="0" w:color="auto"/>
      </w:divBdr>
      <w:divsChild>
        <w:div w:id="1683582733">
          <w:marLeft w:val="0"/>
          <w:marRight w:val="0"/>
          <w:marTop w:val="0"/>
          <w:marBottom w:val="0"/>
          <w:divBdr>
            <w:top w:val="none" w:sz="0" w:space="0" w:color="auto"/>
            <w:left w:val="none" w:sz="0" w:space="0" w:color="auto"/>
            <w:bottom w:val="none" w:sz="0" w:space="0" w:color="auto"/>
            <w:right w:val="none" w:sz="0" w:space="0" w:color="auto"/>
          </w:divBdr>
        </w:div>
      </w:divsChild>
    </w:div>
    <w:div w:id="1969897512">
      <w:bodyDiv w:val="1"/>
      <w:marLeft w:val="0"/>
      <w:marRight w:val="0"/>
      <w:marTop w:val="0"/>
      <w:marBottom w:val="0"/>
      <w:divBdr>
        <w:top w:val="none" w:sz="0" w:space="0" w:color="auto"/>
        <w:left w:val="none" w:sz="0" w:space="0" w:color="auto"/>
        <w:bottom w:val="none" w:sz="0" w:space="0" w:color="auto"/>
        <w:right w:val="none" w:sz="0" w:space="0" w:color="auto"/>
      </w:divBdr>
    </w:div>
    <w:div w:id="1981232357">
      <w:bodyDiv w:val="1"/>
      <w:marLeft w:val="0"/>
      <w:marRight w:val="0"/>
      <w:marTop w:val="0"/>
      <w:marBottom w:val="0"/>
      <w:divBdr>
        <w:top w:val="none" w:sz="0" w:space="0" w:color="auto"/>
        <w:left w:val="none" w:sz="0" w:space="0" w:color="auto"/>
        <w:bottom w:val="none" w:sz="0" w:space="0" w:color="auto"/>
        <w:right w:val="none" w:sz="0" w:space="0" w:color="auto"/>
      </w:divBdr>
    </w:div>
    <w:div w:id="1998991393">
      <w:bodyDiv w:val="1"/>
      <w:marLeft w:val="0"/>
      <w:marRight w:val="0"/>
      <w:marTop w:val="0"/>
      <w:marBottom w:val="0"/>
      <w:divBdr>
        <w:top w:val="none" w:sz="0" w:space="0" w:color="auto"/>
        <w:left w:val="none" w:sz="0" w:space="0" w:color="auto"/>
        <w:bottom w:val="none" w:sz="0" w:space="0" w:color="auto"/>
        <w:right w:val="none" w:sz="0" w:space="0" w:color="auto"/>
      </w:divBdr>
      <w:divsChild>
        <w:div w:id="2010518629">
          <w:marLeft w:val="0"/>
          <w:marRight w:val="0"/>
          <w:marTop w:val="0"/>
          <w:marBottom w:val="0"/>
          <w:divBdr>
            <w:top w:val="none" w:sz="0" w:space="0" w:color="auto"/>
            <w:left w:val="none" w:sz="0" w:space="0" w:color="auto"/>
            <w:bottom w:val="none" w:sz="0" w:space="0" w:color="auto"/>
            <w:right w:val="none" w:sz="0" w:space="0" w:color="auto"/>
          </w:divBdr>
        </w:div>
      </w:divsChild>
    </w:div>
    <w:div w:id="2010014479">
      <w:bodyDiv w:val="1"/>
      <w:marLeft w:val="0"/>
      <w:marRight w:val="0"/>
      <w:marTop w:val="0"/>
      <w:marBottom w:val="0"/>
      <w:divBdr>
        <w:top w:val="none" w:sz="0" w:space="0" w:color="auto"/>
        <w:left w:val="none" w:sz="0" w:space="0" w:color="auto"/>
        <w:bottom w:val="none" w:sz="0" w:space="0" w:color="auto"/>
        <w:right w:val="none" w:sz="0" w:space="0" w:color="auto"/>
      </w:divBdr>
    </w:div>
    <w:div w:id="2058700989">
      <w:bodyDiv w:val="1"/>
      <w:marLeft w:val="0"/>
      <w:marRight w:val="0"/>
      <w:marTop w:val="0"/>
      <w:marBottom w:val="0"/>
      <w:divBdr>
        <w:top w:val="none" w:sz="0" w:space="0" w:color="auto"/>
        <w:left w:val="none" w:sz="0" w:space="0" w:color="auto"/>
        <w:bottom w:val="none" w:sz="0" w:space="0" w:color="auto"/>
        <w:right w:val="none" w:sz="0" w:space="0" w:color="auto"/>
      </w:divBdr>
      <w:divsChild>
        <w:div w:id="1556162012">
          <w:marLeft w:val="0"/>
          <w:marRight w:val="0"/>
          <w:marTop w:val="0"/>
          <w:marBottom w:val="0"/>
          <w:divBdr>
            <w:top w:val="none" w:sz="0" w:space="0" w:color="auto"/>
            <w:left w:val="none" w:sz="0" w:space="0" w:color="auto"/>
            <w:bottom w:val="none" w:sz="0" w:space="0" w:color="auto"/>
            <w:right w:val="none" w:sz="0" w:space="0" w:color="auto"/>
          </w:divBdr>
        </w:div>
      </w:divsChild>
    </w:div>
    <w:div w:id="2122793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file:///D:\Users\chenyilin\Desktop\&#27599;&#26085;&#30740;&#25253;\&#27169;&#26495;&#65288;ifind&#65289;\&#21608;&#25253;&#21697;&#31181;&#36208;&#21183;&#22270;.xlsx!&#20027;&#22270;!%5b&#21608;&#25253;&#21697;&#31181;&#36208;&#21183;&#22270;.xlsx%5d&#20027;&#22270;%20&#22270;&#34920;%201" TargetMode="External"/><Relationship Id="rId26" Type="http://schemas.openxmlformats.org/officeDocument/2006/relationships/oleObject" Target="file:///D:\Users\chenyilin\Desktop\&#27599;&#26085;&#30740;&#25253;\&#27169;&#26495;&#65288;ifind&#65289;\&#21608;&#25253;&#21697;&#31181;&#36208;&#21183;&#22270;.xlsx!&#20027;&#22270;!%5b&#21608;&#25253;&#21697;&#31181;&#36208;&#21183;&#22270;.xlsx%5d&#20027;&#22270;%20&#22270;&#34920;%205" TargetMode="External"/><Relationship Id="rId39" Type="http://schemas.openxmlformats.org/officeDocument/2006/relationships/fontTable" Target="fontTable.xml"/><Relationship Id="rId21" Type="http://schemas.openxmlformats.org/officeDocument/2006/relationships/image" Target="media/image12.emf"/><Relationship Id="rId34" Type="http://schemas.openxmlformats.org/officeDocument/2006/relationships/oleObject" Target="file:///D:\Users\chenyilin\Desktop\&#27599;&#26085;&#30740;&#25253;\&#27169;&#26495;&#65288;ifind&#65289;\&#21608;&#25253;&#21697;&#31181;&#36208;&#21183;&#22270;.xlsx!&#20027;&#22270;!%5b&#21608;&#25253;&#21697;&#31181;&#36208;&#21183;&#22270;.xlsx%5d&#20027;&#22270;%20&#22270;&#34920;%2012" TargetMode="Externa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image" Target="media/image10.emf"/><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file:///D:\Users\chenyilin\Desktop\&#27599;&#26085;&#30740;&#25253;\&#27169;&#26495;&#65288;ifind&#65289;\&#21608;&#25253;&#21697;&#31181;&#36208;&#21183;&#22270;.xlsx!&#20027;&#22270;!%5b&#21608;&#25253;&#21697;&#31181;&#36208;&#21183;&#22270;.xlsx%5d&#20027;&#22270;%20&#22270;&#34920;%2011" TargetMode="External"/><Relationship Id="rId20" Type="http://schemas.openxmlformats.org/officeDocument/2006/relationships/oleObject" Target="file:///D:\Users\chenyilin\Desktop\&#27599;&#26085;&#30740;&#25253;\&#27169;&#26495;&#65288;ifind&#65289;\&#21608;&#25253;&#21697;&#31181;&#36208;&#21183;&#22270;.xlsx!Sheet1!%5b&#21608;&#25253;&#21697;&#31181;&#36208;&#21183;&#22270;.xlsx%5dSheet1%20&#22270;&#34920;%203" TargetMode="External"/><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file:///D:\Users\chenyilin\Desktop\&#27599;&#26085;&#30740;&#25253;\&#27169;&#26495;&#65288;ifind&#65289;\&#21608;&#25253;&#21697;&#31181;&#36208;&#21183;&#22270;.xlsx!&#20027;&#22270;!%5b&#21608;&#25253;&#21697;&#31181;&#36208;&#21183;&#22270;.xlsx%5d&#20027;&#22270;%20&#22270;&#34920;%209" TargetMode="External"/><Relationship Id="rId32" Type="http://schemas.openxmlformats.org/officeDocument/2006/relationships/oleObject" Target="file:///D:\Users\chenyilin\Desktop\&#27599;&#26085;&#30740;&#25253;\&#27169;&#26495;&#65288;ifind&#65289;\&#21608;&#25253;&#21697;&#31181;&#36208;&#21183;&#22270;.xlsx!&#20027;&#22270;!%5b&#21608;&#25253;&#21697;&#31181;&#36208;&#21183;&#22270;.xlsx%5d&#20027;&#22270;%20&#22270;&#34920;%2014"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image" Target="media/image13.emf"/><Relationship Id="rId28" Type="http://schemas.openxmlformats.org/officeDocument/2006/relationships/oleObject" Target="file:///D:\Users\chenyilin\Desktop\&#27599;&#26085;&#30740;&#25253;\&#27169;&#26495;&#65288;ifind&#65289;\&#21608;&#25253;&#21697;&#31181;&#36208;&#21183;&#22270;.xlsx!Sheet2!%5b&#21608;&#25253;&#21697;&#31181;&#36208;&#21183;&#22270;.xlsx%5dSheet2%20&#22270;&#34920;%201" TargetMode="External"/><Relationship Id="rId36"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1.emf"/><Relationship Id="rId31" Type="http://schemas.openxmlformats.org/officeDocument/2006/relationships/image" Target="media/image17.emf"/><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oleObject" Target="file:///D:\Users\chenyilin\Desktop\&#27599;&#26085;&#30740;&#25253;\&#27169;&#26495;&#65288;ifind&#65289;\&#21608;&#25253;&#21697;&#31181;&#36208;&#21183;&#22270;.xlsx!&#20027;&#22270;!%5b&#21608;&#25253;&#21697;&#31181;&#36208;&#21183;&#22270;.xlsx%5d&#20027;&#22270;%20&#22270;&#34920;%203" TargetMode="External"/><Relationship Id="rId27" Type="http://schemas.openxmlformats.org/officeDocument/2006/relationships/image" Target="media/image15.emf"/><Relationship Id="rId30" Type="http://schemas.openxmlformats.org/officeDocument/2006/relationships/oleObject" Target="file:///D:\Users\chenyilin\Desktop\&#27599;&#26085;&#30740;&#25253;\&#27169;&#26495;&#65288;ifind&#65289;\&#21608;&#25253;&#21697;&#31181;&#36208;&#21183;&#22270;.xlsx!&#20027;&#22270;!%5b&#21608;&#25253;&#21697;&#31181;&#36208;&#21183;&#22270;.xlsx%5d&#20027;&#22270;%20&#22270;&#34920;%2013" TargetMode="External"/><Relationship Id="rId35" Type="http://schemas.openxmlformats.org/officeDocument/2006/relationships/image" Target="media/image2.png"/><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156D10B-620F-4DAA-BBBF-AD7E699A3B1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1238</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WPS_1180513195</dc:creator>
  <cp:keywords/>
  <dc:description/>
  <cp:lastModifiedBy>陈伊霖</cp:lastModifiedBy>
  <cp:revision>2</cp:revision>
  <dcterms:created xsi:type="dcterms:W3CDTF">2026-07-27T00:59:00Z</dcterms:created>
  <dcterms:modified xsi:type="dcterms:W3CDTF">2026-07-27T00:59:00Z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988B5217703C4950B103A29445F4D55C_13</vt:lpwstr>
  </property>
  <property fmtid="{D5CDD505-2E9C-101B-9397-08002B2CF9AE}" pid="4" name="_DocHome">
    <vt:i4>880092554</vt:i4>
  </property>
</Properties>
</file>