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24271B73"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A47960">
        <w:rPr>
          <w:rFonts w:ascii="微软雅黑" w:eastAsia="微软雅黑" w:hAnsi="微软雅黑" w:cs="微软雅黑" w:hint="eastAsia"/>
          <w:b/>
          <w:bCs/>
          <w:color w:val="005D97"/>
          <w:spacing w:val="-22"/>
          <w:sz w:val="48"/>
          <w:szCs w:val="48"/>
          <w:lang w:eastAsia="zh-CN"/>
        </w:rPr>
        <w:t>2</w:t>
      </w:r>
      <w:r w:rsidR="00D47ABC">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5E423B5" w:rsidR="007B3E0B" w:rsidRDefault="00D47ABC"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D47ABC">
        <w:rPr>
          <w:rFonts w:ascii="微软雅黑" w:eastAsia="微软雅黑" w:hAnsi="微软雅黑" w:cs="微软雅黑"/>
          <w:spacing w:val="12"/>
          <w:lang w:eastAsia="zh-CN"/>
        </w:rPr>
        <w:t>美国三大股指收盘涨跌不一，道指涨1.03%报52747.32点，标普500指数涨0.21%报7428.78点，纳指跌0.22%报24876.91点。美元指数跌0.11%报101.42，非美货币多数上涨，欧元兑美元涨0.16%报1.1386，英镑兑美元涨0.01%报1.3290，澳元兑美元跌0.23%报0.6974，美元兑日元涨0.07%报163.8580，美元兑加元跌0.11%报1.4109，美元兑瑞郎涨0.01%报0.8193，离岸人民币对美元跌58个基点报6.7712。国际贵金属期货普遍收跌，COMEX黄金期货跌1.18%报4028.80美元/盎司，COMEX白银期货跌2.35%报57.34美元/盎司。</w:t>
      </w:r>
      <w:r w:rsidR="00900347" w:rsidRPr="00D47ABC">
        <w:rPr>
          <w:rFonts w:ascii="微软雅黑" w:eastAsia="微软雅黑" w:hAnsi="微软雅黑" w:cs="微软雅黑" w:hint="eastAsia"/>
          <w:spacing w:val="12"/>
          <w:lang w:eastAsia="zh-CN"/>
        </w:rPr>
        <w:t>I</w:t>
      </w:r>
      <w:r w:rsidR="007B3E0B" w:rsidRPr="00D47ABC">
        <w:rPr>
          <w:rFonts w:ascii="微软雅黑" w:eastAsia="微软雅黑" w:hAnsi="微软雅黑" w:cs="微软雅黑"/>
          <w:spacing w:val="12"/>
          <w:lang w:eastAsia="zh-CN"/>
        </w:rPr>
        <w:t>CE</w:t>
      </w:r>
      <w:r w:rsidR="007B3E0B" w:rsidRPr="00D47ABC">
        <w:rPr>
          <w:rFonts w:ascii="微软雅黑" w:eastAsia="微软雅黑" w:hAnsi="微软雅黑" w:cs="微软雅黑" w:hint="eastAsia"/>
          <w:spacing w:val="12"/>
          <w:lang w:eastAsia="zh-CN"/>
        </w:rPr>
        <w:t>原糖主力合约</w:t>
      </w:r>
      <w:r w:rsidR="00A47960" w:rsidRPr="00D47ABC">
        <w:rPr>
          <w:rFonts w:ascii="微软雅黑" w:eastAsia="微软雅黑" w:hAnsi="微软雅黑" w:cs="微软雅黑" w:hint="eastAsia"/>
          <w:spacing w:val="12"/>
          <w:lang w:eastAsia="zh-CN"/>
        </w:rPr>
        <w:t>跌</w:t>
      </w:r>
      <w:r w:rsidRPr="00D47ABC">
        <w:rPr>
          <w:rFonts w:ascii="微软雅黑" w:eastAsia="微软雅黑" w:hAnsi="微软雅黑" w:cs="微软雅黑" w:hint="eastAsia"/>
          <w:spacing w:val="12"/>
          <w:lang w:eastAsia="zh-CN"/>
        </w:rPr>
        <w:t>0.14</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8D5F7A" w:rsidRPr="00D47ABC">
        <w:rPr>
          <w:rFonts w:ascii="微软雅黑" w:eastAsia="微软雅黑" w:hAnsi="微软雅黑" w:cs="微软雅黑" w:hint="eastAsia"/>
          <w:spacing w:val="12"/>
          <w:lang w:eastAsia="zh-CN"/>
        </w:rPr>
        <w:t>1</w:t>
      </w:r>
      <w:r w:rsidR="00BA4788" w:rsidRPr="00D47ABC">
        <w:rPr>
          <w:rFonts w:ascii="微软雅黑" w:eastAsia="微软雅黑" w:hAnsi="微软雅黑" w:cs="微软雅黑" w:hint="eastAsia"/>
          <w:spacing w:val="12"/>
          <w:lang w:eastAsia="zh-CN"/>
        </w:rPr>
        <w:t>4</w:t>
      </w:r>
      <w:r w:rsidR="00CA4B03" w:rsidRPr="00D47ABC">
        <w:rPr>
          <w:rFonts w:ascii="微软雅黑" w:eastAsia="微软雅黑" w:hAnsi="微软雅黑" w:cs="微软雅黑" w:hint="eastAsia"/>
          <w:spacing w:val="12"/>
          <w:lang w:eastAsia="zh-CN"/>
        </w:rPr>
        <w:t>.</w:t>
      </w:r>
      <w:r w:rsidR="00603883" w:rsidRPr="00D47ABC">
        <w:rPr>
          <w:rFonts w:ascii="微软雅黑" w:eastAsia="微软雅黑" w:hAnsi="微软雅黑" w:cs="微软雅黑" w:hint="eastAsia"/>
          <w:spacing w:val="12"/>
          <w:lang w:eastAsia="zh-CN"/>
        </w:rPr>
        <w:t>56</w:t>
      </w:r>
      <w:r w:rsidR="007B3E0B" w:rsidRPr="00D47ABC">
        <w:rPr>
          <w:rFonts w:ascii="微软雅黑" w:eastAsia="微软雅黑" w:hAnsi="微软雅黑" w:cs="微软雅黑" w:hint="eastAsia"/>
          <w:spacing w:val="12"/>
          <w:lang w:eastAsia="zh-CN"/>
        </w:rPr>
        <w:t>美分</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磅，</w:t>
      </w:r>
      <w:r w:rsidR="007B3E0B" w:rsidRPr="00D47ABC">
        <w:rPr>
          <w:rFonts w:ascii="微软雅黑" w:eastAsia="微软雅黑" w:hAnsi="微软雅黑" w:cs="微软雅黑"/>
          <w:spacing w:val="12"/>
          <w:lang w:eastAsia="zh-CN"/>
        </w:rPr>
        <w:t>ICE</w:t>
      </w:r>
      <w:r w:rsidR="007B3E0B" w:rsidRPr="00D47ABC">
        <w:rPr>
          <w:rFonts w:ascii="微软雅黑" w:eastAsia="微软雅黑" w:hAnsi="微软雅黑" w:cs="微软雅黑" w:hint="eastAsia"/>
          <w:spacing w:val="12"/>
          <w:lang w:eastAsia="zh-CN"/>
        </w:rPr>
        <w:t>棉花主力合约</w:t>
      </w:r>
      <w:r w:rsidRPr="00D47ABC">
        <w:rPr>
          <w:rFonts w:ascii="微软雅黑" w:eastAsia="微软雅黑" w:hAnsi="微软雅黑" w:cs="微软雅黑" w:hint="eastAsia"/>
          <w:spacing w:val="12"/>
          <w:lang w:eastAsia="zh-CN"/>
        </w:rPr>
        <w:t>跌0.32</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603883" w:rsidRPr="00D47ABC">
        <w:rPr>
          <w:rFonts w:ascii="微软雅黑" w:eastAsia="微软雅黑" w:hAnsi="微软雅黑" w:cs="微软雅黑" w:hint="eastAsia"/>
          <w:spacing w:val="12"/>
          <w:lang w:eastAsia="zh-CN"/>
        </w:rPr>
        <w:t>0.</w:t>
      </w:r>
      <w:r w:rsidRPr="00D47ABC">
        <w:rPr>
          <w:rFonts w:ascii="微软雅黑" w:eastAsia="微软雅黑" w:hAnsi="微软雅黑" w:cs="微软雅黑" w:hint="eastAsia"/>
          <w:spacing w:val="12"/>
          <w:lang w:eastAsia="zh-CN"/>
        </w:rPr>
        <w:t>6</w:t>
      </w:r>
      <w:r w:rsidR="00603883" w:rsidRPr="00D47ABC">
        <w:rPr>
          <w:rFonts w:ascii="微软雅黑" w:eastAsia="微软雅黑" w:hAnsi="微软雅黑" w:cs="微软雅黑" w:hint="eastAsia"/>
          <w:spacing w:val="12"/>
          <w:lang w:eastAsia="zh-CN"/>
        </w:rPr>
        <w:t>2</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71164878" w:rsidR="00557736" w:rsidRPr="0022448B" w:rsidRDefault="00D47ABC"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59601DB0" wp14:editId="5856872F">
            <wp:extent cx="5888955" cy="3881010"/>
            <wp:effectExtent l="0" t="0" r="0" b="5715"/>
            <wp:docPr id="19643152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97799" cy="3886839"/>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55695DD4" w:rsidR="00863E18" w:rsidRPr="00D47ABC"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D47ABC" w:rsidRPr="00D47ABC">
        <w:rPr>
          <w:rFonts w:ascii="微软雅黑" w:eastAsia="微软雅黑" w:hAnsi="微软雅黑" w:cs="微软雅黑"/>
          <w:color w:val="auto"/>
          <w:spacing w:val="4"/>
          <w:lang w:eastAsia="zh-CN"/>
        </w:rPr>
        <w:t>调解方认为美伊已接近达成突破性协议，有望重启美国与伊朗6月签署的谅解备忘录。阿曼提出联合管理霍尔木兹海峡新机制，使用方自愿向维护航道的相关基金捐款，但当前谈判前景仍不明朗。伊朗军方警告各方不要接受美国使用伊资产进行“赔偿”，否则其所属船只将不被允许通过霍尔木兹海峡。也门政府警告称，胡塞武装可能“效仿伊朗”控制曼德海峡。但胡塞武装方面表示，曼德海峡并未被关闭，近期宣布的封锁措施“仅针对沙特”。</w:t>
      </w:r>
      <w:r w:rsidRPr="00D47ABC">
        <w:rPr>
          <w:rFonts w:ascii="微软雅黑" w:eastAsia="微软雅黑" w:hAnsi="微软雅黑" w:cs="微软雅黑" w:hint="eastAsia"/>
          <w:color w:val="auto"/>
          <w:spacing w:val="4"/>
          <w:lang w:eastAsia="zh-CN"/>
        </w:rPr>
        <w:t>】</w:t>
      </w:r>
    </w:p>
    <w:p w14:paraId="44D59D47" w14:textId="63E2D993" w:rsidR="002E37FC" w:rsidRPr="00603883"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D47ABC">
        <w:rPr>
          <w:rFonts w:ascii="微软雅黑" w:eastAsia="微软雅黑" w:hAnsi="微软雅黑" w:cs="微软雅黑" w:hint="eastAsia"/>
          <w:color w:val="auto"/>
          <w:spacing w:val="4"/>
          <w:lang w:eastAsia="zh-CN"/>
        </w:rPr>
        <w:lastRenderedPageBreak/>
        <w:t>【</w:t>
      </w:r>
      <w:r w:rsidR="00D47ABC" w:rsidRPr="00D47ABC">
        <w:rPr>
          <w:rFonts w:ascii="微软雅黑" w:eastAsia="微软雅黑" w:hAnsi="微软雅黑" w:cs="微软雅黑"/>
          <w:color w:val="auto"/>
          <w:spacing w:val="4"/>
          <w:lang w:eastAsia="zh-CN"/>
        </w:rPr>
        <w:t>美联储即将公布最新利率决议，市场焦点已不仅限于是否维持利率不变，而是转向本次FOMC会议可能出现的反对票数量。多家机构及预测市场认为，两名鹰派官员——达拉斯联储主席洛根和克利夫兰联储主席哈马克——将在本次会议上投出反对票。</w:t>
      </w:r>
      <w:r w:rsidRPr="00603883">
        <w:rPr>
          <w:rFonts w:ascii="微软雅黑" w:eastAsia="微软雅黑" w:hAnsi="微软雅黑" w:cs="微软雅黑" w:hint="eastAsia"/>
          <w:color w:val="auto"/>
          <w:spacing w:val="4"/>
          <w:lang w:eastAsia="zh-CN"/>
        </w:rPr>
        <w:t>】</w:t>
      </w:r>
    </w:p>
    <w:p w14:paraId="3CED6F5C" w14:textId="77777777" w:rsidR="00A47960" w:rsidRDefault="00A47960"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D47ABC" w:rsidRPr="008D0ACF" w14:paraId="6CB27548" w14:textId="77777777" w:rsidTr="00E43653">
        <w:trPr>
          <w:trHeight w:val="620"/>
        </w:trPr>
        <w:tc>
          <w:tcPr>
            <w:tcW w:w="1701" w:type="dxa"/>
          </w:tcPr>
          <w:bookmarkEnd w:id="0"/>
          <w:p w14:paraId="06D90DF4" w14:textId="433B462A" w:rsidR="00D47ABC" w:rsidRPr="00A47960" w:rsidRDefault="00D47ABC" w:rsidP="00D47ABC">
            <w:pPr>
              <w:spacing w:before="230" w:line="191" w:lineRule="auto"/>
              <w:ind w:right="210"/>
              <w:jc w:val="center"/>
              <w:rPr>
                <w:rFonts w:ascii="微软雅黑" w:eastAsia="微软雅黑" w:hAnsi="微软雅黑" w:cs="微软雅黑" w:hint="eastAsia"/>
                <w:b/>
                <w:bCs/>
                <w:spacing w:val="3"/>
                <w:sz w:val="19"/>
                <w:szCs w:val="19"/>
                <w:lang w:eastAsia="zh-CN"/>
              </w:rPr>
            </w:pPr>
            <w:r w:rsidRPr="00D47ABC">
              <w:rPr>
                <w:rFonts w:ascii="微软雅黑" w:eastAsia="微软雅黑" w:hAnsi="微软雅黑" w:cs="微软雅黑"/>
                <w:b/>
                <w:bCs/>
                <w:spacing w:val="3"/>
                <w:sz w:val="19"/>
                <w:szCs w:val="19"/>
                <w:lang w:eastAsia="zh-CN"/>
              </w:rPr>
              <w:t>2026/7/29</w:t>
            </w:r>
          </w:p>
        </w:tc>
        <w:tc>
          <w:tcPr>
            <w:tcW w:w="1314" w:type="dxa"/>
          </w:tcPr>
          <w:p w14:paraId="4FF8F240" w14:textId="23ED66E1" w:rsidR="00D47ABC" w:rsidRPr="00A47960" w:rsidRDefault="00D47ABC" w:rsidP="00D47ABC">
            <w:pPr>
              <w:spacing w:before="230" w:line="191" w:lineRule="auto"/>
              <w:ind w:right="210"/>
              <w:jc w:val="center"/>
              <w:rPr>
                <w:rFonts w:ascii="微软雅黑" w:eastAsia="微软雅黑" w:hAnsi="微软雅黑" w:cs="微软雅黑" w:hint="eastAsia"/>
                <w:b/>
                <w:bCs/>
                <w:spacing w:val="3"/>
                <w:sz w:val="19"/>
                <w:szCs w:val="19"/>
                <w:lang w:eastAsia="zh-CN"/>
              </w:rPr>
            </w:pPr>
            <w:r w:rsidRPr="00D47ABC">
              <w:rPr>
                <w:rFonts w:ascii="微软雅黑" w:eastAsia="微软雅黑" w:hAnsi="微软雅黑" w:cs="微软雅黑"/>
                <w:b/>
                <w:bCs/>
                <w:spacing w:val="3"/>
                <w:sz w:val="19"/>
                <w:szCs w:val="19"/>
                <w:lang w:eastAsia="zh-CN"/>
              </w:rPr>
              <w:t>09:30</w:t>
            </w:r>
          </w:p>
        </w:tc>
        <w:tc>
          <w:tcPr>
            <w:tcW w:w="6344" w:type="dxa"/>
          </w:tcPr>
          <w:p w14:paraId="1C726C53" w14:textId="744F4D52" w:rsidR="00D47ABC" w:rsidRPr="007B4F11" w:rsidRDefault="00D47ABC" w:rsidP="00D47ABC">
            <w:pPr>
              <w:spacing w:before="230" w:line="191" w:lineRule="auto"/>
              <w:ind w:right="210"/>
              <w:jc w:val="center"/>
              <w:rPr>
                <w:rFonts w:ascii="微软雅黑" w:eastAsia="微软雅黑" w:hAnsi="微软雅黑" w:cs="微软雅黑" w:hint="eastAsia"/>
                <w:b/>
                <w:bCs/>
                <w:spacing w:val="3"/>
                <w:sz w:val="19"/>
                <w:szCs w:val="19"/>
                <w:lang w:eastAsia="zh-CN"/>
              </w:rPr>
            </w:pPr>
            <w:r w:rsidRPr="00D47ABC">
              <w:rPr>
                <w:rFonts w:ascii="微软雅黑" w:eastAsia="微软雅黑" w:hAnsi="微软雅黑" w:cs="微软雅黑"/>
                <w:b/>
                <w:bCs/>
                <w:spacing w:val="3"/>
                <w:sz w:val="19"/>
                <w:szCs w:val="19"/>
                <w:lang w:eastAsia="zh-CN"/>
              </w:rPr>
              <w:t>澳大利亚二季度CPI</w:t>
            </w:r>
          </w:p>
        </w:tc>
      </w:tr>
      <w:tr w:rsidR="00D47ABC" w:rsidRPr="008D0ACF" w14:paraId="670C2A81" w14:textId="77777777" w:rsidTr="006D0765">
        <w:trPr>
          <w:trHeight w:val="620"/>
        </w:trPr>
        <w:tc>
          <w:tcPr>
            <w:tcW w:w="1701" w:type="dxa"/>
            <w:shd w:val="clear" w:color="auto" w:fill="DAE3F4" w:themeFill="accent1" w:themeFillTint="33"/>
          </w:tcPr>
          <w:p w14:paraId="5CD7C5B5" w14:textId="0CAFCF4B" w:rsidR="00D47ABC" w:rsidRPr="00432248" w:rsidRDefault="00D47ABC" w:rsidP="00D47ABC">
            <w:pPr>
              <w:spacing w:before="230" w:line="191" w:lineRule="auto"/>
              <w:ind w:right="210"/>
              <w:jc w:val="center"/>
              <w:rPr>
                <w:rFonts w:ascii="微软雅黑" w:eastAsia="微软雅黑" w:hAnsi="微软雅黑" w:cs="微软雅黑" w:hint="eastAsia"/>
                <w:b/>
                <w:bCs/>
                <w:spacing w:val="3"/>
                <w:sz w:val="19"/>
                <w:szCs w:val="19"/>
                <w:lang w:eastAsia="zh-CN"/>
              </w:rPr>
            </w:pPr>
            <w:r w:rsidRPr="00D47ABC">
              <w:rPr>
                <w:rFonts w:ascii="微软雅黑" w:eastAsia="微软雅黑" w:hAnsi="微软雅黑" w:cs="微软雅黑"/>
                <w:b/>
                <w:bCs/>
                <w:spacing w:val="3"/>
                <w:sz w:val="19"/>
                <w:szCs w:val="19"/>
                <w:lang w:eastAsia="zh-CN"/>
              </w:rPr>
              <w:t>2026/7/29</w:t>
            </w:r>
          </w:p>
        </w:tc>
        <w:tc>
          <w:tcPr>
            <w:tcW w:w="1314" w:type="dxa"/>
            <w:shd w:val="clear" w:color="auto" w:fill="DAE3F4" w:themeFill="accent1" w:themeFillTint="33"/>
          </w:tcPr>
          <w:p w14:paraId="5CC8A079" w14:textId="521EA9FF" w:rsidR="00D47ABC" w:rsidRPr="00432248" w:rsidRDefault="00D47ABC" w:rsidP="00D47ABC">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22</w:t>
            </w:r>
            <w:r w:rsidRPr="007B4F11">
              <w:rPr>
                <w:rFonts w:ascii="微软雅黑" w:eastAsia="微软雅黑" w:hAnsi="微软雅黑" w:cs="微软雅黑"/>
                <w:b/>
                <w:bCs/>
                <w:spacing w:val="3"/>
                <w:sz w:val="19"/>
                <w:szCs w:val="19"/>
                <w:lang w:eastAsia="zh-CN"/>
              </w:rPr>
              <w:t>:</w:t>
            </w:r>
            <w:r>
              <w:rPr>
                <w:rFonts w:ascii="微软雅黑" w:eastAsia="微软雅黑" w:hAnsi="微软雅黑" w:cs="微软雅黑" w:hint="eastAsia"/>
                <w:b/>
                <w:bCs/>
                <w:spacing w:val="3"/>
                <w:sz w:val="19"/>
                <w:szCs w:val="19"/>
                <w:lang w:eastAsia="zh-CN"/>
              </w:rPr>
              <w:t>3</w:t>
            </w:r>
            <w:r w:rsidRPr="007B4F11">
              <w:rPr>
                <w:rFonts w:ascii="微软雅黑" w:eastAsia="微软雅黑" w:hAnsi="微软雅黑" w:cs="微软雅黑"/>
                <w:b/>
                <w:bCs/>
                <w:spacing w:val="3"/>
                <w:sz w:val="19"/>
                <w:szCs w:val="19"/>
                <w:lang w:eastAsia="zh-CN"/>
              </w:rPr>
              <w:t>0</w:t>
            </w:r>
          </w:p>
        </w:tc>
        <w:tc>
          <w:tcPr>
            <w:tcW w:w="6344" w:type="dxa"/>
            <w:shd w:val="clear" w:color="auto" w:fill="DAE3F4" w:themeFill="accent1" w:themeFillTint="33"/>
          </w:tcPr>
          <w:p w14:paraId="17C12098" w14:textId="69925711" w:rsidR="00D47ABC" w:rsidRPr="00432248" w:rsidRDefault="00D47ABC" w:rsidP="00D47ABC">
            <w:pPr>
              <w:spacing w:before="230" w:line="191" w:lineRule="auto"/>
              <w:ind w:right="210"/>
              <w:jc w:val="center"/>
              <w:rPr>
                <w:rFonts w:ascii="微软雅黑" w:eastAsia="微软雅黑" w:hAnsi="微软雅黑" w:cs="微软雅黑" w:hint="eastAsia"/>
                <w:b/>
                <w:bCs/>
                <w:spacing w:val="3"/>
                <w:sz w:val="19"/>
                <w:szCs w:val="19"/>
                <w:lang w:eastAsia="zh-CN"/>
              </w:rPr>
            </w:pPr>
            <w:r w:rsidRPr="00D47ABC">
              <w:rPr>
                <w:rFonts w:ascii="微软雅黑" w:eastAsia="微软雅黑" w:hAnsi="微软雅黑" w:cs="微软雅黑"/>
                <w:b/>
                <w:bCs/>
                <w:spacing w:val="3"/>
                <w:sz w:val="19"/>
                <w:szCs w:val="19"/>
                <w:lang w:eastAsia="zh-CN"/>
              </w:rPr>
              <w:t>美国至 7 月 24 日当周 EIA 原油库存</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71ECE19" w14:textId="77777777" w:rsidR="00061B97" w:rsidRPr="00061B97" w:rsidRDefault="00061B97" w:rsidP="00061B97">
      <w:pPr>
        <w:spacing w:before="103" w:line="256" w:lineRule="auto"/>
        <w:ind w:right="210" w:firstLineChars="200" w:firstLine="448"/>
        <w:rPr>
          <w:rFonts w:ascii="微软雅黑" w:eastAsia="微软雅黑" w:hAnsi="微软雅黑" w:cs="微软雅黑"/>
          <w:spacing w:val="7"/>
          <w:lang w:eastAsia="zh-CN"/>
        </w:rPr>
      </w:pPr>
      <w:r w:rsidRPr="00061B97">
        <w:rPr>
          <w:rFonts w:ascii="微软雅黑" w:eastAsia="微软雅黑" w:hAnsi="微软雅黑" w:cs="微软雅黑" w:hint="eastAsia"/>
          <w:spacing w:val="7"/>
          <w:lang w:eastAsia="zh-CN"/>
        </w:rPr>
        <w:t>隔夜，美元指数跌</w:t>
      </w:r>
      <w:r w:rsidRPr="00061B97">
        <w:rPr>
          <w:rFonts w:ascii="微软雅黑" w:eastAsia="微软雅黑" w:hAnsi="微软雅黑" w:cs="微软雅黑"/>
          <w:spacing w:val="7"/>
          <w:lang w:eastAsia="zh-CN"/>
        </w:rPr>
        <w:t>0.11%</w:t>
      </w:r>
      <w:r w:rsidRPr="00061B97">
        <w:rPr>
          <w:rFonts w:ascii="微软雅黑" w:eastAsia="微软雅黑" w:hAnsi="微软雅黑" w:cs="微软雅黑" w:hint="eastAsia"/>
          <w:spacing w:val="7"/>
          <w:lang w:eastAsia="zh-CN"/>
        </w:rPr>
        <w:t>报</w:t>
      </w:r>
      <w:r w:rsidRPr="00061B97">
        <w:rPr>
          <w:rFonts w:ascii="微软雅黑" w:eastAsia="微软雅黑" w:hAnsi="微软雅黑" w:cs="微软雅黑"/>
          <w:spacing w:val="7"/>
          <w:lang w:eastAsia="zh-CN"/>
        </w:rPr>
        <w:t>101.42</w:t>
      </w:r>
      <w:r w:rsidRPr="00061B97">
        <w:rPr>
          <w:rFonts w:ascii="微软雅黑" w:eastAsia="微软雅黑" w:hAnsi="微软雅黑" w:cs="微软雅黑" w:hint="eastAsia"/>
          <w:spacing w:val="7"/>
          <w:lang w:eastAsia="zh-CN"/>
        </w:rPr>
        <w:t>，非美货币多数上涨，欧元兑美元涨</w:t>
      </w:r>
      <w:r w:rsidRPr="00061B97">
        <w:rPr>
          <w:rFonts w:ascii="微软雅黑" w:eastAsia="微软雅黑" w:hAnsi="微软雅黑" w:cs="微软雅黑"/>
          <w:spacing w:val="7"/>
          <w:lang w:eastAsia="zh-CN"/>
        </w:rPr>
        <w:t>0.16%</w:t>
      </w:r>
      <w:r w:rsidRPr="00061B97">
        <w:rPr>
          <w:rFonts w:ascii="微软雅黑" w:eastAsia="微软雅黑" w:hAnsi="微软雅黑" w:cs="微软雅黑" w:hint="eastAsia"/>
          <w:spacing w:val="7"/>
          <w:lang w:eastAsia="zh-CN"/>
        </w:rPr>
        <w:t>报</w:t>
      </w:r>
      <w:r w:rsidRPr="00061B97">
        <w:rPr>
          <w:rFonts w:ascii="微软雅黑" w:eastAsia="微软雅黑" w:hAnsi="微软雅黑" w:cs="微软雅黑"/>
          <w:spacing w:val="7"/>
          <w:lang w:eastAsia="zh-CN"/>
        </w:rPr>
        <w:t>1.1386</w:t>
      </w:r>
      <w:r w:rsidRPr="00061B97">
        <w:rPr>
          <w:rFonts w:ascii="微软雅黑" w:eastAsia="微软雅黑" w:hAnsi="微软雅黑" w:cs="微软雅黑" w:hint="eastAsia"/>
          <w:spacing w:val="7"/>
          <w:lang w:eastAsia="zh-CN"/>
        </w:rPr>
        <w:t>，英镑兑美元涨</w:t>
      </w:r>
      <w:r w:rsidRPr="00061B97">
        <w:rPr>
          <w:rFonts w:ascii="微软雅黑" w:eastAsia="微软雅黑" w:hAnsi="微软雅黑" w:cs="微软雅黑"/>
          <w:spacing w:val="7"/>
          <w:lang w:eastAsia="zh-CN"/>
        </w:rPr>
        <w:t>0.01%</w:t>
      </w:r>
      <w:r w:rsidRPr="00061B97">
        <w:rPr>
          <w:rFonts w:ascii="微软雅黑" w:eastAsia="微软雅黑" w:hAnsi="微软雅黑" w:cs="微软雅黑" w:hint="eastAsia"/>
          <w:spacing w:val="7"/>
          <w:lang w:eastAsia="zh-CN"/>
        </w:rPr>
        <w:t>报</w:t>
      </w:r>
      <w:r w:rsidRPr="00061B97">
        <w:rPr>
          <w:rFonts w:ascii="微软雅黑" w:eastAsia="微软雅黑" w:hAnsi="微软雅黑" w:cs="微软雅黑"/>
          <w:spacing w:val="7"/>
          <w:lang w:eastAsia="zh-CN"/>
        </w:rPr>
        <w:t>1.3290</w:t>
      </w:r>
      <w:r w:rsidRPr="00061B97">
        <w:rPr>
          <w:rFonts w:ascii="微软雅黑" w:eastAsia="微软雅黑" w:hAnsi="微软雅黑" w:cs="微软雅黑" w:hint="eastAsia"/>
          <w:spacing w:val="7"/>
          <w:lang w:eastAsia="zh-CN"/>
        </w:rPr>
        <w:t>，美元兑日元涨</w:t>
      </w:r>
      <w:r w:rsidRPr="00061B97">
        <w:rPr>
          <w:rFonts w:ascii="微软雅黑" w:eastAsia="微软雅黑" w:hAnsi="微软雅黑" w:cs="微软雅黑"/>
          <w:spacing w:val="7"/>
          <w:lang w:eastAsia="zh-CN"/>
        </w:rPr>
        <w:t>0.07%</w:t>
      </w:r>
      <w:r w:rsidRPr="00061B97">
        <w:rPr>
          <w:rFonts w:ascii="微软雅黑" w:eastAsia="微软雅黑" w:hAnsi="微软雅黑" w:cs="微软雅黑" w:hint="eastAsia"/>
          <w:spacing w:val="7"/>
          <w:lang w:eastAsia="zh-CN"/>
        </w:rPr>
        <w:t>报</w:t>
      </w:r>
      <w:r w:rsidRPr="00061B97">
        <w:rPr>
          <w:rFonts w:ascii="微软雅黑" w:eastAsia="微软雅黑" w:hAnsi="微软雅黑" w:cs="微软雅黑"/>
          <w:spacing w:val="7"/>
          <w:lang w:eastAsia="zh-CN"/>
        </w:rPr>
        <w:t>163.8580</w:t>
      </w:r>
      <w:r w:rsidRPr="00061B97">
        <w:rPr>
          <w:rFonts w:ascii="微软雅黑" w:eastAsia="微软雅黑" w:hAnsi="微软雅黑" w:cs="微软雅黑" w:hint="eastAsia"/>
          <w:spacing w:val="7"/>
          <w:lang w:eastAsia="zh-CN"/>
        </w:rPr>
        <w:t>。</w:t>
      </w:r>
    </w:p>
    <w:p w14:paraId="13D55047" w14:textId="77777777" w:rsidR="00061B97" w:rsidRPr="00061B97" w:rsidRDefault="00061B97" w:rsidP="00061B97">
      <w:pPr>
        <w:spacing w:before="103" w:line="256" w:lineRule="auto"/>
        <w:ind w:right="210" w:firstLineChars="200" w:firstLine="448"/>
        <w:rPr>
          <w:rFonts w:ascii="微软雅黑" w:eastAsia="微软雅黑" w:hAnsi="微软雅黑" w:cs="微软雅黑"/>
          <w:spacing w:val="7"/>
          <w:lang w:eastAsia="zh-CN"/>
        </w:rPr>
      </w:pPr>
      <w:r w:rsidRPr="00061B97">
        <w:rPr>
          <w:rFonts w:ascii="微软雅黑" w:eastAsia="微软雅黑" w:hAnsi="微软雅黑" w:cs="微软雅黑" w:hint="eastAsia"/>
          <w:spacing w:val="7"/>
          <w:lang w:eastAsia="zh-CN"/>
        </w:rPr>
        <w:t>地缘方面，美伊谈判前景仍然难言明朗，美军暂停空袭试图为谈判留出空间，但美方内部对恢复战事存在分歧，伊朗则坚决否认与美谈判，近期美元指数高位震荡偏强运行。货币政策方面，美联储主席沃什反复强调其“抗通胀”决心，市场普遍预计本周</w:t>
      </w:r>
      <w:r w:rsidRPr="00061B97">
        <w:rPr>
          <w:rFonts w:ascii="微软雅黑" w:eastAsia="微软雅黑" w:hAnsi="微软雅黑" w:cs="微软雅黑"/>
          <w:spacing w:val="7"/>
          <w:lang w:eastAsia="zh-CN"/>
        </w:rPr>
        <w:t>FOMC</w:t>
      </w:r>
      <w:r w:rsidRPr="00061B97">
        <w:rPr>
          <w:rFonts w:ascii="微软雅黑" w:eastAsia="微软雅黑" w:hAnsi="微软雅黑" w:cs="微软雅黑" w:hint="eastAsia"/>
          <w:spacing w:val="7"/>
          <w:lang w:eastAsia="zh-CN"/>
        </w:rPr>
        <w:t>会议美联储将维持利率按兵不动。市场对后续收紧政策的预期依然高企，年内维持约</w:t>
      </w:r>
      <w:r w:rsidRPr="00061B97">
        <w:rPr>
          <w:rFonts w:ascii="微软雅黑" w:eastAsia="微软雅黑" w:hAnsi="微软雅黑" w:cs="微软雅黑"/>
          <w:spacing w:val="7"/>
          <w:lang w:eastAsia="zh-CN"/>
        </w:rPr>
        <w:t>2</w:t>
      </w:r>
      <w:r w:rsidRPr="00061B97">
        <w:rPr>
          <w:rFonts w:ascii="微软雅黑" w:eastAsia="微软雅黑" w:hAnsi="微软雅黑" w:cs="微软雅黑" w:hint="eastAsia"/>
          <w:spacing w:val="7"/>
          <w:lang w:eastAsia="zh-CN"/>
        </w:rPr>
        <w:t>次的加息预期，前期公布的就业及通胀数据均呈现偏弱态势，美元上方或存在较强阻力，美伊冲突引发的避险需求则构成底部支撑，预计短期美元或维持高位震荡。</w:t>
      </w:r>
    </w:p>
    <w:p w14:paraId="502379A4" w14:textId="79757A4C" w:rsidR="002760F0" w:rsidRPr="002760F0" w:rsidRDefault="00061B97" w:rsidP="00061B97">
      <w:pPr>
        <w:spacing w:before="103" w:line="256" w:lineRule="auto"/>
        <w:ind w:right="210" w:firstLineChars="200" w:firstLine="448"/>
        <w:rPr>
          <w:rFonts w:ascii="微软雅黑" w:eastAsia="微软雅黑" w:hAnsi="微软雅黑" w:cs="微软雅黑" w:hint="eastAsia"/>
          <w:spacing w:val="7"/>
          <w:lang w:eastAsia="zh-CN"/>
        </w:rPr>
      </w:pPr>
      <w:r w:rsidRPr="00061B97">
        <w:rPr>
          <w:rFonts w:ascii="微软雅黑" w:eastAsia="微软雅黑" w:hAnsi="微软雅黑" w:cs="微软雅黑" w:hint="eastAsia"/>
          <w:spacing w:val="7"/>
          <w:lang w:eastAsia="zh-CN"/>
        </w:rPr>
        <w:t>油价上涨带动通胀预期再度走高，市场加码押注欧央行偏紧政策预期，目前已完全消化</w:t>
      </w:r>
      <w:r w:rsidRPr="00061B97">
        <w:rPr>
          <w:rFonts w:ascii="微软雅黑" w:eastAsia="微软雅黑" w:hAnsi="微软雅黑" w:cs="微软雅黑"/>
          <w:spacing w:val="7"/>
          <w:lang w:eastAsia="zh-CN"/>
        </w:rPr>
        <w:t>9</w:t>
      </w:r>
      <w:r w:rsidRPr="00061B97">
        <w:rPr>
          <w:rFonts w:ascii="微软雅黑" w:eastAsia="微软雅黑" w:hAnsi="微软雅黑" w:cs="微软雅黑" w:hint="eastAsia"/>
          <w:spacing w:val="7"/>
          <w:lang w:eastAsia="zh-CN"/>
        </w:rPr>
        <w:t>月加息预期，并预计</w:t>
      </w:r>
      <w:r w:rsidRPr="00061B97">
        <w:rPr>
          <w:rFonts w:ascii="微软雅黑" w:eastAsia="微软雅黑" w:hAnsi="微软雅黑" w:cs="微软雅黑"/>
          <w:spacing w:val="7"/>
          <w:lang w:eastAsia="zh-CN"/>
        </w:rPr>
        <w:t>2027</w:t>
      </w:r>
      <w:r w:rsidRPr="00061B97">
        <w:rPr>
          <w:rFonts w:ascii="微软雅黑" w:eastAsia="微软雅黑" w:hAnsi="微软雅黑" w:cs="微软雅黑" w:hint="eastAsia"/>
          <w:spacing w:val="7"/>
          <w:lang w:eastAsia="zh-CN"/>
        </w:rPr>
        <w:t>年初将再度加息，但欧央行官员立场仍相对谨慎，在美联储鹰派主基调延续、美欧利差持续走阔的背景下，欧元上方阻力仍存。日本方面，日本</w:t>
      </w:r>
      <w:r w:rsidRPr="00061B97">
        <w:rPr>
          <w:rFonts w:ascii="微软雅黑" w:eastAsia="微软雅黑" w:hAnsi="微软雅黑" w:cs="微软雅黑"/>
          <w:spacing w:val="7"/>
          <w:lang w:eastAsia="zh-CN"/>
        </w:rPr>
        <w:t>6</w:t>
      </w:r>
      <w:r w:rsidRPr="00061B97">
        <w:rPr>
          <w:rFonts w:ascii="微软雅黑" w:eastAsia="微软雅黑" w:hAnsi="微软雅黑" w:cs="微软雅黑" w:hint="eastAsia"/>
          <w:spacing w:val="7"/>
          <w:lang w:eastAsia="zh-CN"/>
        </w:rPr>
        <w:t>月核心</w:t>
      </w:r>
      <w:r w:rsidRPr="00061B97">
        <w:rPr>
          <w:rFonts w:ascii="微软雅黑" w:eastAsia="微软雅黑" w:hAnsi="微软雅黑" w:cs="微软雅黑"/>
          <w:spacing w:val="7"/>
          <w:lang w:eastAsia="zh-CN"/>
        </w:rPr>
        <w:t>CPI</w:t>
      </w:r>
      <w:r w:rsidRPr="00061B97">
        <w:rPr>
          <w:rFonts w:ascii="微软雅黑" w:eastAsia="微软雅黑" w:hAnsi="微软雅黑" w:cs="微软雅黑" w:hint="eastAsia"/>
          <w:spacing w:val="7"/>
          <w:lang w:eastAsia="zh-CN"/>
        </w:rPr>
        <w:t>同比上涨</w:t>
      </w:r>
      <w:r w:rsidRPr="00061B97">
        <w:rPr>
          <w:rFonts w:ascii="微软雅黑" w:eastAsia="微软雅黑" w:hAnsi="微软雅黑" w:cs="微软雅黑"/>
          <w:spacing w:val="7"/>
          <w:lang w:eastAsia="zh-CN"/>
        </w:rPr>
        <w:t>1.6%</w:t>
      </w:r>
      <w:r w:rsidRPr="00061B97">
        <w:rPr>
          <w:rFonts w:ascii="微软雅黑" w:eastAsia="微软雅黑" w:hAnsi="微软雅黑" w:cs="微软雅黑" w:hint="eastAsia"/>
          <w:spacing w:val="7"/>
          <w:lang w:eastAsia="zh-CN"/>
        </w:rPr>
        <w:t>，环比增速小幅上行，日本央行仍沿渐进路径推进政策正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7BB74B3" w:rsidR="007A477E" w:rsidRDefault="00061B97"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140419">
        <w:rPr>
          <w:rFonts w:ascii="黑体" w:eastAsia="黑体" w:hAnsi="黑体" w:cs="黑体"/>
          <w:noProof/>
          <w:color w:val="000000" w:themeColor="text1"/>
          <w:sz w:val="22"/>
          <w:szCs w:val="22"/>
          <w:shd w:val="clear" w:color="auto" w:fill="FFFFFF"/>
          <w:lang w:bidi="ar"/>
        </w:rPr>
        <w:lastRenderedPageBreak/>
        <w:drawing>
          <wp:inline distT="0" distB="0" distL="0" distR="0" wp14:anchorId="5D78BDE8" wp14:editId="7C1A6709">
            <wp:extent cx="4349750" cy="2261870"/>
            <wp:effectExtent l="0" t="0" r="0" b="5080"/>
            <wp:docPr id="1171071941" name="图片 117107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9750" cy="226187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4B933E06" w:rsidR="00ED4A18" w:rsidRDefault="00D47ABC" w:rsidP="00B00DB4">
      <w:pPr>
        <w:spacing w:before="103" w:line="256" w:lineRule="auto"/>
        <w:ind w:right="210" w:firstLine="448"/>
        <w:rPr>
          <w:rFonts w:ascii="微软雅黑" w:eastAsia="微软雅黑" w:hAnsi="微软雅黑" w:cs="微软雅黑" w:hint="eastAsia"/>
          <w:spacing w:val="7"/>
          <w:lang w:eastAsia="zh-CN"/>
        </w:rPr>
      </w:pPr>
      <w:r w:rsidRPr="00D47ABC">
        <w:rPr>
          <w:rFonts w:ascii="微软雅黑" w:eastAsia="微软雅黑" w:hAnsi="微软雅黑" w:cs="微软雅黑"/>
          <w:spacing w:val="7"/>
          <w:lang w:eastAsia="zh-CN"/>
        </w:rPr>
        <w:t>截至7月28日，标普500指数上涨0.21%至7428.78；迷你标普500主力合约上涨0.19%至7467.5点。地缘局势上，美国方面称，伊朗对美军中东驻地发动袭击。此外，胡塞武装表示，其对一艘沙特油轮进行攻击。消息推动今日早间国际油价大幅高开。产业消息上，海力士二季度财报显示其多项财务数据均不及预期，加上此前，英伟达计划为OpenAI提供循环融资的消息，使得市场对AI行情的担忧愈发强烈。整体来看，人工智能行情可持续性的担忧以及伊朗再度对美方发动袭击均对美股形成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A7F5969" w:rsidR="007A477E" w:rsidRPr="00EE7376" w:rsidRDefault="00D47ABC" w:rsidP="006B6996">
      <w:pPr>
        <w:spacing w:before="103" w:line="256" w:lineRule="auto"/>
        <w:ind w:right="210" w:firstLine="420"/>
        <w:jc w:val="center"/>
        <w:rPr>
          <w:rFonts w:ascii="微软雅黑" w:eastAsia="微软雅黑" w:hAnsi="微软雅黑" w:cs="微软雅黑" w:hint="eastAsia"/>
          <w:spacing w:val="7"/>
          <w:lang w:eastAsia="zh-CN"/>
        </w:rPr>
      </w:pPr>
      <w:r w:rsidRPr="00D55839">
        <w:rPr>
          <w:rFonts w:ascii="Helvetica" w:hAnsi="Helvetica" w:cs="Helvetica"/>
          <w:noProof/>
          <w:shd w:val="clear" w:color="auto" w:fill="FFFFFF"/>
        </w:rPr>
        <w:drawing>
          <wp:inline distT="0" distB="0" distL="0" distR="0" wp14:anchorId="32960090" wp14:editId="22BD5F5A">
            <wp:extent cx="5274310" cy="1593515"/>
            <wp:effectExtent l="0" t="0" r="2540" b="6985"/>
            <wp:docPr id="932953611" name="图片 932953611" descr="C:\Users\Administrator\xwechat_files\wxid_vkxlzo0vqu7s22_6f5b\temp\InputTemp\cb0dfc4e-845c-47e7-8ef4-dfeac57890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cb0dfc4e-845c-47e7-8ef4-dfeac57890c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351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1836A043" w:rsidR="004F4EDC" w:rsidRDefault="00D47ABC" w:rsidP="000511AA">
      <w:pPr>
        <w:spacing w:before="103" w:line="256" w:lineRule="auto"/>
        <w:ind w:right="210" w:firstLine="448"/>
        <w:jc w:val="both"/>
        <w:rPr>
          <w:rFonts w:ascii="微软雅黑" w:eastAsia="微软雅黑" w:hAnsi="微软雅黑" w:cs="微软雅黑" w:hint="eastAsia"/>
          <w:spacing w:val="7"/>
          <w:lang w:eastAsia="zh-CN"/>
        </w:rPr>
      </w:pPr>
      <w:r w:rsidRPr="00D47ABC">
        <w:rPr>
          <w:rFonts w:ascii="微软雅黑" w:eastAsia="微软雅黑" w:hAnsi="微软雅黑" w:cs="微软雅黑"/>
          <w:spacing w:val="7"/>
          <w:lang w:eastAsia="zh-CN"/>
        </w:rPr>
        <w:t>截至7月28日，富时中国A50指数下跌2.69%至14852.88；新交所富时A50期指主力合约下跌2.59%至14819。海外方面，地缘局势上，美国方面称，伊朗对美军中东驻地发动袭击。此外，胡塞武装表示，其对一艘沙特油轮进行攻击。消息推动今日早间国际油价大幅高开。产业消息上，海力士二季度财报显示其多项财务数据均不及预期，加上此前，英伟达计划为OpenAI提供循环融资的消息，使得市场对AI行情的担忧愈发强烈。国内方面，经济基本面，1-6月，我国规上工业企业利润累计同比增速微幅下滑，其中与人工智能相关的行业利润增速高涨。整体来看，国内电子及半导体相关行业依旧维持极高利润增速，利好相关产业，中长期看科技股仍有上升空间。此外，长鑫科技上市后，科技板块或出现明显的高低分化，与长鑫业务高度关联的公司有望获得较好表现。短线的影响上，海外市场对人工智能行情可持续性的</w:t>
      </w:r>
      <w:r w:rsidRPr="00D47ABC">
        <w:rPr>
          <w:rFonts w:ascii="微软雅黑" w:eastAsia="微软雅黑" w:hAnsi="微软雅黑" w:cs="微软雅黑"/>
          <w:spacing w:val="7"/>
          <w:lang w:eastAsia="zh-CN"/>
        </w:rPr>
        <w:lastRenderedPageBreak/>
        <w:t>担忧预计对A股科技股产生负面影响。最后，美伊双方再度交火，重新推升油价及美债收益率，A股外部风险仍未消除，短期仍将处于震荡磨底态势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2FF4DF7" w:rsidR="00A10388" w:rsidRDefault="00D47ABC" w:rsidP="00A10388">
      <w:pPr>
        <w:spacing w:before="120" w:line="190" w:lineRule="auto"/>
        <w:ind w:right="210" w:firstLine="420"/>
        <w:jc w:val="center"/>
        <w:rPr>
          <w:rFonts w:ascii="新宋体" w:eastAsia="新宋体" w:hAnsi="新宋体" w:hint="eastAsia"/>
          <w:lang w:eastAsia="zh-CN"/>
        </w:rPr>
      </w:pPr>
      <w:r w:rsidRPr="00D55839">
        <w:rPr>
          <w:rFonts w:ascii="宋体" w:eastAsia="宋体" w:hAnsi="宋体"/>
          <w:b/>
          <w:noProof/>
        </w:rPr>
        <w:drawing>
          <wp:inline distT="0" distB="0" distL="0" distR="0" wp14:anchorId="375EAF75" wp14:editId="540A1B12">
            <wp:extent cx="5274310" cy="1584860"/>
            <wp:effectExtent l="0" t="0" r="2540" b="0"/>
            <wp:docPr id="304681489" name="图片 304681489" descr="C:\Users\Administrator\xwechat_files\wxid_vkxlzo0vqu7s22_6f5b\temp\InputTemp\37d66836-1d18-4399-8c0e-5f55257f3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37d66836-1d18-4399-8c0e-5f55257f329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486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272147C1" w:rsidR="005B5E6A" w:rsidRDefault="00D47ABC" w:rsidP="00F51117">
      <w:pPr>
        <w:spacing w:before="103" w:line="256" w:lineRule="auto"/>
        <w:ind w:right="210" w:firstLine="448"/>
        <w:jc w:val="both"/>
        <w:rPr>
          <w:rFonts w:ascii="微软雅黑" w:eastAsia="微软雅黑" w:hAnsi="微软雅黑" w:cs="微软雅黑" w:hint="eastAsia"/>
          <w:spacing w:val="12"/>
          <w:lang w:eastAsia="zh-CN"/>
        </w:rPr>
      </w:pPr>
      <w:r w:rsidRPr="00D47ABC">
        <w:rPr>
          <w:rFonts w:ascii="微软雅黑" w:eastAsia="微软雅黑" w:hAnsi="微软雅黑" w:cs="微软雅黑"/>
          <w:spacing w:val="12"/>
          <w:lang w:eastAsia="zh-CN"/>
        </w:rPr>
        <w:t>隔夜COMEX铜震荡偏弱，报收6.336元/磅，涨跌幅-0.67%。国际方面，美联储即将公布最新利率决议，市场焦点已不仅限于是否维持利率不变，而是转向本次FOMC会议可能出现的反对票数量。多家机构及预测市场认为，两名鹰派官员——达拉斯联储主席洛根和克利夫兰联储主席哈马克——将在本次会议上投出反对票。国内方面，据央行统计，2026年二季度末，人民币房地产贷款余额50.74万亿元，同比下降4.9%，上半年减少1.23万亿元。其中，房地产开发贷款余额12.65万亿元，同比下降8.5%，上半年减少5402亿元。个人住房贷款余额36.29万亿元，同比下降3.8%，上半年减少7163亿元。库存方面，截至2026年7月28日，COMEX铜库存为709101短吨，环比+1631短吨；LME铜库存为268775吨，环比-4200吨；SHFE每日仓单26924吨，环比-100吨。美元美债方面，美伊局势虽曾出现短暂缓和迹象，但冲突反复风险依然较高，胡塞武装与沙特的对峙也为局势增添了不确定性。美元指数小幅走弱，抹去日内全部跌幅，最终收跌0.11%，报101.25；基准的10年期美债收益率收报4.608%，对美联储政策利率敏感的2年期美债收益率收报4.293%。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740062B9" w:rsidR="00A02266" w:rsidRDefault="00D47ABC" w:rsidP="006B6996">
      <w:pPr>
        <w:spacing w:before="103" w:line="256" w:lineRule="auto"/>
        <w:ind w:right="210" w:firstLine="420"/>
        <w:jc w:val="center"/>
      </w:pPr>
      <w:r>
        <w:rPr>
          <w:noProof/>
        </w:rPr>
        <w:lastRenderedPageBreak/>
        <w:drawing>
          <wp:inline distT="0" distB="0" distL="0" distR="0" wp14:anchorId="4DD841A7" wp14:editId="7C5B739D">
            <wp:extent cx="5274310" cy="2879090"/>
            <wp:effectExtent l="0" t="0" r="2540" b="0"/>
            <wp:docPr id="931206646" name="图片 93120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3978B324" w:rsidR="00F850DC" w:rsidRDefault="00061B97" w:rsidP="00B00DB4">
      <w:pPr>
        <w:spacing w:before="103" w:line="256" w:lineRule="auto"/>
        <w:ind w:right="210" w:firstLine="468"/>
        <w:jc w:val="both"/>
        <w:rPr>
          <w:rFonts w:ascii="微软雅黑" w:eastAsia="微软雅黑" w:hAnsi="微软雅黑" w:cs="微软雅黑" w:hint="eastAsia"/>
          <w:noProof/>
          <w:spacing w:val="7"/>
          <w:lang w:eastAsia="zh-CN"/>
        </w:rPr>
      </w:pPr>
      <w:r w:rsidRPr="00061B97">
        <w:rPr>
          <w:rFonts w:ascii="微软雅黑" w:eastAsia="微软雅黑" w:hAnsi="微软雅黑" w:cs="微软雅黑"/>
          <w:noProof/>
          <w:spacing w:val="7"/>
          <w:lang w:eastAsia="zh-CN"/>
        </w:rPr>
        <w:t>隔夜，国际贵金属期货普遍收跌，COMEX黄金期货跌1.18%报4028.80美元/盎司，COMEX白银期货跌2.35%报57.34美元/盎司。美伊双边就恢复谈判仍存在明显分歧，叠加全球科技股急挫加剧短期流动性风险，贵金属市场盘中震荡走低。FOMC进入本周议息会议前的例行静默期，市场普遍预计本次美联储将维持联邦基金利率不变，但年内仍有约两次的加息预期，美元指数及美债收益率高位偏强运行，对无息资产形成持续性施压。往前看，贵金属市场或延续震荡探底格局，美国就业与通胀数据均弱于市场预期，经历前期较为充分的回调及资⾦去杠杆化，贵金属大幅走弱的可能性或相对有限，叠加美股对于市场资金的“虹吸”效应边际减弱，科技股投机资金明显撤退，部分多头资金有望回流贵金属市场。当前的核心问题在于，美伊局势后续发展仍面临较强不确定性，特朗普就停火的表态或仍存在变数，趋势性上涨仍需更明确的地缘缓和信号。美伊冲突及霍尔木兹海峡通⾏争端仍可能反复，若油价持续反弹并重新推升通胀预期，美联储鹰派定价及强势美元仍将限制贵金属上行空间；白银工业属性趋于弱化，全球光伏装机量下滑及光伏用银需求明显放缓，严重抑制白银工业需求，银价或跟随金价波动为主。操作上建议，逢低轻仓布局多单，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4DE48298" w:rsidR="007A477E" w:rsidRDefault="00061B97"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140419">
        <w:rPr>
          <w:rFonts w:ascii="黑体" w:eastAsia="黑体" w:hAnsi="黑体"/>
          <w:b/>
          <w:bCs/>
          <w:noProof/>
          <w:sz w:val="22"/>
          <w:szCs w:val="22"/>
          <w:shd w:val="clear" w:color="auto" w:fill="FFFFFF"/>
          <w:lang w:bidi="ar"/>
        </w:rPr>
        <w:lastRenderedPageBreak/>
        <w:drawing>
          <wp:inline distT="0" distB="0" distL="0" distR="0" wp14:anchorId="5272DA28" wp14:editId="1B2821AD">
            <wp:extent cx="4394200" cy="2268855"/>
            <wp:effectExtent l="0" t="0" r="6350" b="0"/>
            <wp:docPr id="1738938333" name="图片 173893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4200" cy="226885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7DD7BA8D" w14:textId="77777777" w:rsidR="00D47ABC" w:rsidRPr="00D47ABC" w:rsidRDefault="00D47ABC" w:rsidP="00D47ABC">
      <w:pPr>
        <w:spacing w:before="103" w:line="256" w:lineRule="auto"/>
        <w:ind w:right="210" w:firstLine="448"/>
        <w:jc w:val="both"/>
        <w:rPr>
          <w:rFonts w:ascii="微软雅黑" w:eastAsia="微软雅黑" w:hAnsi="微软雅黑" w:cs="微软雅黑"/>
          <w:noProof/>
          <w:spacing w:val="7"/>
          <w:lang w:eastAsia="zh-CN"/>
        </w:rPr>
      </w:pPr>
      <w:r w:rsidRPr="00D47ABC">
        <w:rPr>
          <w:rFonts w:ascii="微软雅黑" w:eastAsia="微软雅黑" w:hAnsi="微软雅黑" w:cs="微软雅黑" w:hint="eastAsia"/>
          <w:noProof/>
          <w:spacing w:val="7"/>
          <w:lang w:eastAsia="zh-CN"/>
        </w:rPr>
        <w:t>洲际交易所</w:t>
      </w:r>
      <w:r w:rsidRPr="00D47ABC">
        <w:rPr>
          <w:rFonts w:ascii="微软雅黑" w:eastAsia="微软雅黑" w:hAnsi="微软雅黑" w:cs="微软雅黑"/>
          <w:noProof/>
          <w:spacing w:val="7"/>
          <w:lang w:eastAsia="zh-CN"/>
        </w:rPr>
        <w:t>(ICE)</w:t>
      </w:r>
      <w:r w:rsidRPr="00D47ABC">
        <w:rPr>
          <w:rFonts w:ascii="微软雅黑" w:eastAsia="微软雅黑" w:hAnsi="微软雅黑" w:cs="微软雅黑" w:hint="eastAsia"/>
          <w:noProof/>
          <w:spacing w:val="7"/>
          <w:lang w:eastAsia="zh-CN"/>
        </w:rPr>
        <w:t>原糖期货周二下跌，继续受油价下跌拖累。</w:t>
      </w:r>
      <w:r w:rsidRPr="00D47ABC">
        <w:rPr>
          <w:rFonts w:ascii="微软雅黑" w:eastAsia="微软雅黑" w:hAnsi="微软雅黑" w:cs="微软雅黑"/>
          <w:noProof/>
          <w:spacing w:val="7"/>
          <w:lang w:eastAsia="zh-CN"/>
        </w:rPr>
        <w:t>ICE</w:t>
      </w:r>
      <w:r w:rsidRPr="00D47ABC">
        <w:rPr>
          <w:rFonts w:ascii="微软雅黑" w:eastAsia="微软雅黑" w:hAnsi="微软雅黑" w:cs="微软雅黑" w:hint="eastAsia"/>
          <w:noProof/>
          <w:spacing w:val="7"/>
          <w:lang w:eastAsia="zh-CN"/>
        </w:rPr>
        <w:t>交投最活跃的</w:t>
      </w:r>
      <w:r w:rsidRPr="00D47ABC">
        <w:rPr>
          <w:rFonts w:ascii="微软雅黑" w:eastAsia="微软雅黑" w:hAnsi="微软雅黑" w:cs="微软雅黑"/>
          <w:noProof/>
          <w:spacing w:val="7"/>
          <w:lang w:eastAsia="zh-CN"/>
        </w:rPr>
        <w:t>10</w:t>
      </w:r>
      <w:r w:rsidRPr="00D47ABC">
        <w:rPr>
          <w:rFonts w:ascii="微软雅黑" w:eastAsia="微软雅黑" w:hAnsi="微软雅黑" w:cs="微软雅黑" w:hint="eastAsia"/>
          <w:noProof/>
          <w:spacing w:val="7"/>
          <w:lang w:eastAsia="zh-CN"/>
        </w:rPr>
        <w:t>月原糖期货收跌</w:t>
      </w:r>
      <w:r w:rsidRPr="00D47ABC">
        <w:rPr>
          <w:rFonts w:ascii="微软雅黑" w:eastAsia="微软雅黑" w:hAnsi="微软雅黑" w:cs="微软雅黑"/>
          <w:noProof/>
          <w:spacing w:val="7"/>
          <w:lang w:eastAsia="zh-CN"/>
        </w:rPr>
        <w:t>0.190.03</w:t>
      </w:r>
      <w:r w:rsidRPr="00D47ABC">
        <w:rPr>
          <w:rFonts w:ascii="微软雅黑" w:eastAsia="微软雅黑" w:hAnsi="微软雅黑" w:cs="微软雅黑" w:hint="eastAsia"/>
          <w:noProof/>
          <w:spacing w:val="7"/>
          <w:lang w:eastAsia="zh-CN"/>
        </w:rPr>
        <w:t>美分或</w:t>
      </w:r>
      <w:r w:rsidRPr="00D47ABC">
        <w:rPr>
          <w:rFonts w:ascii="微软雅黑" w:eastAsia="微软雅黑" w:hAnsi="微软雅黑" w:cs="微软雅黑"/>
          <w:noProof/>
          <w:spacing w:val="7"/>
          <w:lang w:eastAsia="zh-CN"/>
        </w:rPr>
        <w:t>0.21%</w:t>
      </w:r>
      <w:r w:rsidRPr="00D47ABC">
        <w:rPr>
          <w:rFonts w:ascii="微软雅黑" w:eastAsia="微软雅黑" w:hAnsi="微软雅黑" w:cs="微软雅黑" w:hint="eastAsia"/>
          <w:noProof/>
          <w:spacing w:val="7"/>
          <w:lang w:eastAsia="zh-CN"/>
        </w:rPr>
        <w:t>，结算价报每磅</w:t>
      </w:r>
      <w:r w:rsidRPr="00D47ABC">
        <w:rPr>
          <w:rFonts w:ascii="微软雅黑" w:eastAsia="微软雅黑" w:hAnsi="微软雅黑" w:cs="微软雅黑"/>
          <w:noProof/>
          <w:spacing w:val="7"/>
          <w:lang w:eastAsia="zh-CN"/>
        </w:rPr>
        <w:t>14.55</w:t>
      </w:r>
      <w:r w:rsidRPr="00D47ABC">
        <w:rPr>
          <w:rFonts w:ascii="微软雅黑" w:eastAsia="微软雅黑" w:hAnsi="微软雅黑" w:cs="微软雅黑" w:hint="eastAsia"/>
          <w:noProof/>
          <w:spacing w:val="7"/>
          <w:lang w:eastAsia="zh-CN"/>
        </w:rPr>
        <w:t>美分。</w:t>
      </w:r>
    </w:p>
    <w:p w14:paraId="581CABA2" w14:textId="77777777" w:rsidR="00D47ABC" w:rsidRPr="00D47ABC" w:rsidRDefault="00D47ABC" w:rsidP="00D47ABC">
      <w:pPr>
        <w:spacing w:before="103" w:line="256" w:lineRule="auto"/>
        <w:ind w:right="210" w:firstLine="448"/>
        <w:jc w:val="both"/>
        <w:rPr>
          <w:rFonts w:ascii="微软雅黑" w:eastAsia="微软雅黑" w:hAnsi="微软雅黑" w:cs="微软雅黑"/>
          <w:noProof/>
          <w:spacing w:val="7"/>
          <w:lang w:eastAsia="zh-CN"/>
        </w:rPr>
      </w:pPr>
      <w:r w:rsidRPr="00D47ABC">
        <w:rPr>
          <w:rFonts w:ascii="微软雅黑" w:eastAsia="微软雅黑" w:hAnsi="微软雅黑" w:cs="微软雅黑" w:hint="eastAsia"/>
          <w:noProof/>
          <w:spacing w:val="7"/>
          <w:lang w:eastAsia="zh-CN"/>
        </w:rPr>
        <w:t>国际方面，巴西航运机构</w:t>
      </w:r>
      <w:r w:rsidRPr="00D47ABC">
        <w:rPr>
          <w:rFonts w:ascii="微软雅黑" w:eastAsia="微软雅黑" w:hAnsi="微软雅黑" w:cs="微软雅黑"/>
          <w:noProof/>
          <w:spacing w:val="7"/>
          <w:lang w:eastAsia="zh-CN"/>
        </w:rPr>
        <w:t>Williams</w:t>
      </w:r>
      <w:r w:rsidRPr="00D47ABC">
        <w:rPr>
          <w:rFonts w:ascii="微软雅黑" w:eastAsia="微软雅黑" w:hAnsi="微软雅黑" w:cs="微软雅黑" w:hint="eastAsia"/>
          <w:noProof/>
          <w:spacing w:val="7"/>
          <w:lang w:eastAsia="zh-CN"/>
        </w:rPr>
        <w:t>发布的数据显示，截至</w:t>
      </w:r>
      <w:r w:rsidRPr="00D47ABC">
        <w:rPr>
          <w:rFonts w:ascii="微软雅黑" w:eastAsia="微软雅黑" w:hAnsi="微软雅黑" w:cs="微软雅黑"/>
          <w:noProof/>
          <w:spacing w:val="7"/>
          <w:lang w:eastAsia="zh-CN"/>
        </w:rPr>
        <w:t>7</w:t>
      </w:r>
      <w:r w:rsidRPr="00D47ABC">
        <w:rPr>
          <w:rFonts w:ascii="微软雅黑" w:eastAsia="微软雅黑" w:hAnsi="微软雅黑" w:cs="微软雅黑" w:hint="eastAsia"/>
          <w:noProof/>
          <w:spacing w:val="7"/>
          <w:lang w:eastAsia="zh-CN"/>
        </w:rPr>
        <w:t>月</w:t>
      </w:r>
      <w:r w:rsidRPr="00D47ABC">
        <w:rPr>
          <w:rFonts w:ascii="微软雅黑" w:eastAsia="微软雅黑" w:hAnsi="微软雅黑" w:cs="微软雅黑"/>
          <w:noProof/>
          <w:spacing w:val="7"/>
          <w:lang w:eastAsia="zh-CN"/>
        </w:rPr>
        <w:t>22</w:t>
      </w:r>
      <w:r w:rsidRPr="00D47ABC">
        <w:rPr>
          <w:rFonts w:ascii="微软雅黑" w:eastAsia="微软雅黑" w:hAnsi="微软雅黑" w:cs="微软雅黑" w:hint="eastAsia"/>
          <w:noProof/>
          <w:spacing w:val="7"/>
          <w:lang w:eastAsia="zh-CN"/>
        </w:rPr>
        <w:t>日当周，巴西港口等待装运食糖的船只数量为</w:t>
      </w:r>
      <w:r w:rsidRPr="00D47ABC">
        <w:rPr>
          <w:rFonts w:ascii="微软雅黑" w:eastAsia="微软雅黑" w:hAnsi="微软雅黑" w:cs="微软雅黑"/>
          <w:noProof/>
          <w:spacing w:val="7"/>
          <w:lang w:eastAsia="zh-CN"/>
        </w:rPr>
        <w:t>43</w:t>
      </w:r>
      <w:r w:rsidRPr="00D47ABC">
        <w:rPr>
          <w:rFonts w:ascii="微软雅黑" w:eastAsia="微软雅黑" w:hAnsi="微软雅黑" w:cs="微软雅黑" w:hint="eastAsia"/>
          <w:noProof/>
          <w:spacing w:val="7"/>
          <w:lang w:eastAsia="zh-CN"/>
        </w:rPr>
        <w:t>艘，此前一周为</w:t>
      </w:r>
      <w:r w:rsidRPr="00D47ABC">
        <w:rPr>
          <w:rFonts w:ascii="微软雅黑" w:eastAsia="微软雅黑" w:hAnsi="微软雅黑" w:cs="微软雅黑"/>
          <w:noProof/>
          <w:spacing w:val="7"/>
          <w:lang w:eastAsia="zh-CN"/>
        </w:rPr>
        <w:t>510</w:t>
      </w:r>
      <w:r w:rsidRPr="00D47ABC">
        <w:rPr>
          <w:rFonts w:ascii="微软雅黑" w:eastAsia="微软雅黑" w:hAnsi="微软雅黑" w:cs="微软雅黑" w:hint="eastAsia"/>
          <w:noProof/>
          <w:spacing w:val="7"/>
          <w:lang w:eastAsia="zh-CN"/>
        </w:rPr>
        <w:t>艘。港口等待装运的食糖数量为</w:t>
      </w:r>
      <w:r w:rsidRPr="00D47ABC">
        <w:rPr>
          <w:rFonts w:ascii="微软雅黑" w:eastAsia="微软雅黑" w:hAnsi="微软雅黑" w:cs="微软雅黑"/>
          <w:noProof/>
          <w:spacing w:val="7"/>
          <w:lang w:eastAsia="zh-CN"/>
        </w:rPr>
        <w:t>183.21</w:t>
      </w:r>
      <w:r w:rsidRPr="00D47ABC">
        <w:rPr>
          <w:rFonts w:ascii="微软雅黑" w:eastAsia="微软雅黑" w:hAnsi="微软雅黑" w:cs="微软雅黑" w:hint="eastAsia"/>
          <w:noProof/>
          <w:spacing w:val="7"/>
          <w:lang w:eastAsia="zh-CN"/>
        </w:rPr>
        <w:t>万吨，此前一周为</w:t>
      </w:r>
      <w:r w:rsidRPr="00D47ABC">
        <w:rPr>
          <w:rFonts w:ascii="微软雅黑" w:eastAsia="微软雅黑" w:hAnsi="微软雅黑" w:cs="微软雅黑"/>
          <w:noProof/>
          <w:spacing w:val="7"/>
          <w:lang w:eastAsia="zh-CN"/>
        </w:rPr>
        <w:t>217.6</w:t>
      </w:r>
      <w:r w:rsidRPr="00D47ABC">
        <w:rPr>
          <w:rFonts w:ascii="微软雅黑" w:eastAsia="微软雅黑" w:hAnsi="微软雅黑" w:cs="微软雅黑" w:hint="eastAsia"/>
          <w:noProof/>
          <w:spacing w:val="7"/>
          <w:lang w:eastAsia="zh-CN"/>
        </w:rPr>
        <w:t>万吨。其中桑托斯港等待出口的食糖数量为</w:t>
      </w:r>
      <w:r w:rsidRPr="00D47ABC">
        <w:rPr>
          <w:rFonts w:ascii="微软雅黑" w:eastAsia="微软雅黑" w:hAnsi="微软雅黑" w:cs="微软雅黑"/>
          <w:noProof/>
          <w:spacing w:val="7"/>
          <w:lang w:eastAsia="zh-CN"/>
        </w:rPr>
        <w:t>157.48</w:t>
      </w:r>
      <w:r w:rsidRPr="00D47ABC">
        <w:rPr>
          <w:rFonts w:ascii="微软雅黑" w:eastAsia="微软雅黑" w:hAnsi="微软雅黑" w:cs="微软雅黑" w:hint="eastAsia"/>
          <w:noProof/>
          <w:spacing w:val="7"/>
          <w:lang w:eastAsia="zh-CN"/>
        </w:rPr>
        <w:t>万吨。当周等待装运出口的食糖船只数量下降为主。</w:t>
      </w:r>
    </w:p>
    <w:p w14:paraId="3F44DEBC" w14:textId="5EF13BCB" w:rsidR="00C27A84" w:rsidRDefault="00D47ABC" w:rsidP="00D47ABC">
      <w:pPr>
        <w:spacing w:before="103" w:line="256" w:lineRule="auto"/>
        <w:ind w:right="210" w:firstLine="448"/>
        <w:jc w:val="both"/>
        <w:rPr>
          <w:rFonts w:ascii="微软雅黑" w:eastAsia="微软雅黑" w:hAnsi="微软雅黑" w:cs="微软雅黑" w:hint="eastAsia"/>
          <w:noProof/>
          <w:spacing w:val="7"/>
          <w:lang w:eastAsia="zh-CN"/>
        </w:rPr>
      </w:pPr>
      <w:r w:rsidRPr="00D47ABC">
        <w:rPr>
          <w:rFonts w:ascii="微软雅黑" w:eastAsia="微软雅黑" w:hAnsi="微软雅黑" w:cs="微软雅黑" w:hint="eastAsia"/>
          <w:noProof/>
          <w:spacing w:val="7"/>
          <w:lang w:eastAsia="zh-CN"/>
        </w:rPr>
        <w:t>美糖主力价格关注上方压力</w:t>
      </w:r>
      <w:r w:rsidRPr="00D47ABC">
        <w:rPr>
          <w:rFonts w:ascii="微软雅黑" w:eastAsia="微软雅黑" w:hAnsi="微软雅黑" w:cs="微软雅黑"/>
          <w:noProof/>
          <w:spacing w:val="7"/>
          <w:lang w:eastAsia="zh-CN"/>
        </w:rPr>
        <w:t>15.8</w:t>
      </w:r>
      <w:r w:rsidRPr="00D47ABC">
        <w:rPr>
          <w:rFonts w:ascii="微软雅黑" w:eastAsia="微软雅黑" w:hAnsi="微软雅黑" w:cs="微软雅黑" w:hint="eastAsia"/>
          <w:noProof/>
          <w:spacing w:val="7"/>
          <w:lang w:eastAsia="zh-CN"/>
        </w:rPr>
        <w:t>美分</w:t>
      </w:r>
      <w:r w:rsidRPr="00D47ABC">
        <w:rPr>
          <w:rFonts w:ascii="微软雅黑" w:eastAsia="微软雅黑" w:hAnsi="微软雅黑" w:cs="微软雅黑"/>
          <w:noProof/>
          <w:spacing w:val="7"/>
          <w:lang w:eastAsia="zh-CN"/>
        </w:rPr>
        <w:t>/</w:t>
      </w:r>
      <w:r w:rsidRPr="00D47ABC">
        <w:rPr>
          <w:rFonts w:ascii="微软雅黑" w:eastAsia="微软雅黑" w:hAnsi="微软雅黑" w:cs="微软雅黑" w:hint="eastAsia"/>
          <w:noProof/>
          <w:spacing w:val="7"/>
          <w:lang w:eastAsia="zh-CN"/>
        </w:rPr>
        <w:t>磅，下方支撑</w:t>
      </w:r>
      <w:r w:rsidRPr="00D47ABC">
        <w:rPr>
          <w:rFonts w:ascii="微软雅黑" w:eastAsia="微软雅黑" w:hAnsi="微软雅黑" w:cs="微软雅黑"/>
          <w:noProof/>
          <w:spacing w:val="7"/>
          <w:lang w:eastAsia="zh-CN"/>
        </w:rPr>
        <w:t>13.8</w:t>
      </w:r>
      <w:r w:rsidRPr="00D47ABC">
        <w:rPr>
          <w:rFonts w:ascii="微软雅黑" w:eastAsia="微软雅黑" w:hAnsi="微软雅黑" w:cs="微软雅黑" w:hint="eastAsia"/>
          <w:noProof/>
          <w:spacing w:val="7"/>
          <w:lang w:eastAsia="zh-CN"/>
        </w:rPr>
        <w:t>美分</w:t>
      </w:r>
      <w:r w:rsidRPr="00D47ABC">
        <w:rPr>
          <w:rFonts w:ascii="微软雅黑" w:eastAsia="微软雅黑" w:hAnsi="微软雅黑" w:cs="微软雅黑"/>
          <w:noProof/>
          <w:spacing w:val="7"/>
          <w:lang w:eastAsia="zh-CN"/>
        </w:rPr>
        <w:t>/</w:t>
      </w:r>
      <w:r w:rsidRPr="00D47ABC">
        <w:rPr>
          <w:rFonts w:ascii="微软雅黑" w:eastAsia="微软雅黑" w:hAnsi="微软雅黑" w:cs="微软雅黑" w:hint="eastAsia"/>
          <w:noProof/>
          <w:spacing w:val="7"/>
          <w:lang w:eastAsia="zh-CN"/>
        </w:rPr>
        <w:t>磅。建议</w:t>
      </w:r>
      <w:r w:rsidRPr="00D47ABC">
        <w:rPr>
          <w:rFonts w:ascii="微软雅黑" w:eastAsia="微软雅黑" w:hAnsi="微软雅黑" w:cs="微软雅黑"/>
          <w:noProof/>
          <w:spacing w:val="7"/>
          <w:lang w:eastAsia="zh-CN"/>
        </w:rPr>
        <w:t>10</w:t>
      </w:r>
      <w:r w:rsidRPr="00D47ABC">
        <w:rPr>
          <w:rFonts w:ascii="微软雅黑" w:eastAsia="微软雅黑" w:hAnsi="微软雅黑" w:cs="微软雅黑" w:hint="eastAsia"/>
          <w:noProof/>
          <w:spacing w:val="7"/>
          <w:lang w:eastAsia="zh-CN"/>
        </w:rPr>
        <w:t>月</w:t>
      </w:r>
      <w:r w:rsidRPr="00D47ABC">
        <w:rPr>
          <w:rFonts w:ascii="微软雅黑" w:eastAsia="微软雅黑" w:hAnsi="微软雅黑" w:cs="微软雅黑"/>
          <w:noProof/>
          <w:spacing w:val="7"/>
          <w:lang w:eastAsia="zh-CN"/>
        </w:rPr>
        <w:t xml:space="preserve"> ICE </w:t>
      </w:r>
      <w:r w:rsidRPr="00D47ABC">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263179E" w:rsidR="007A477E" w:rsidRPr="00786136" w:rsidRDefault="00D47ABC"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4D32B265" wp14:editId="6214D3B1">
            <wp:extent cx="5263515" cy="2162810"/>
            <wp:effectExtent l="0" t="0" r="0" b="8890"/>
            <wp:docPr id="777480485" name="图片 5" descr="QQ截图2026072908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QQ截图202607290802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216281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13833600" w14:textId="77777777" w:rsidR="00D47ABC" w:rsidRPr="00D47ABC" w:rsidRDefault="00D47ABC" w:rsidP="00D47ABC">
      <w:pPr>
        <w:spacing w:before="103" w:line="256" w:lineRule="auto"/>
        <w:ind w:right="210" w:firstLine="448"/>
        <w:jc w:val="both"/>
        <w:rPr>
          <w:rFonts w:ascii="微软雅黑" w:eastAsia="微软雅黑" w:hAnsi="微软雅黑" w:cs="微软雅黑"/>
          <w:noProof/>
          <w:spacing w:val="7"/>
          <w:lang w:eastAsia="zh-CN"/>
        </w:rPr>
      </w:pPr>
      <w:r w:rsidRPr="00D47ABC">
        <w:rPr>
          <w:rFonts w:ascii="微软雅黑" w:eastAsia="微软雅黑" w:hAnsi="微软雅黑" w:cs="微软雅黑" w:hint="eastAsia"/>
          <w:noProof/>
          <w:spacing w:val="7"/>
          <w:lang w:eastAsia="zh-CN"/>
        </w:rPr>
        <w:t>洲际交易所</w:t>
      </w:r>
      <w:r w:rsidRPr="00D47ABC">
        <w:rPr>
          <w:rFonts w:ascii="微软雅黑" w:eastAsia="微软雅黑" w:hAnsi="微软雅黑" w:cs="微软雅黑"/>
          <w:noProof/>
          <w:spacing w:val="7"/>
          <w:lang w:eastAsia="zh-CN"/>
        </w:rPr>
        <w:t>(ICE)</w:t>
      </w:r>
      <w:r w:rsidRPr="00D47ABC">
        <w:rPr>
          <w:rFonts w:ascii="微软雅黑" w:eastAsia="微软雅黑" w:hAnsi="微软雅黑" w:cs="微软雅黑" w:hint="eastAsia"/>
          <w:noProof/>
          <w:spacing w:val="7"/>
          <w:lang w:eastAsia="zh-CN"/>
        </w:rPr>
        <w:t>棉花期货周二小幅走低，交易商正评估种植季天气状况并寻找新的市场方向，而美元持坚给市场带来额外压力，</w:t>
      </w:r>
      <w:r w:rsidRPr="00D47ABC">
        <w:rPr>
          <w:rFonts w:ascii="微软雅黑" w:eastAsia="微软雅黑" w:hAnsi="微软雅黑" w:cs="微软雅黑"/>
          <w:noProof/>
          <w:spacing w:val="7"/>
          <w:lang w:eastAsia="zh-CN"/>
        </w:rPr>
        <w:t>ICE 12</w:t>
      </w:r>
      <w:r w:rsidRPr="00D47ABC">
        <w:rPr>
          <w:rFonts w:ascii="微软雅黑" w:eastAsia="微软雅黑" w:hAnsi="微软雅黑" w:cs="微软雅黑" w:hint="eastAsia"/>
          <w:noProof/>
          <w:spacing w:val="7"/>
          <w:lang w:eastAsia="zh-CN"/>
        </w:rPr>
        <w:t>月棉花期货合约下跌</w:t>
      </w:r>
      <w:r w:rsidRPr="00D47ABC">
        <w:rPr>
          <w:rFonts w:ascii="微软雅黑" w:eastAsia="微软雅黑" w:hAnsi="微软雅黑" w:cs="微软雅黑"/>
          <w:noProof/>
          <w:spacing w:val="7"/>
          <w:lang w:eastAsia="zh-CN"/>
        </w:rPr>
        <w:t>0.35</w:t>
      </w:r>
      <w:r w:rsidRPr="00D47ABC">
        <w:rPr>
          <w:rFonts w:ascii="微软雅黑" w:eastAsia="微软雅黑" w:hAnsi="微软雅黑" w:cs="微软雅黑" w:hint="eastAsia"/>
          <w:noProof/>
          <w:spacing w:val="7"/>
          <w:lang w:eastAsia="zh-CN"/>
        </w:rPr>
        <w:t>美分或</w:t>
      </w:r>
      <w:r w:rsidRPr="00D47ABC">
        <w:rPr>
          <w:rFonts w:ascii="微软雅黑" w:eastAsia="微软雅黑" w:hAnsi="微软雅黑" w:cs="微软雅黑"/>
          <w:noProof/>
          <w:spacing w:val="7"/>
          <w:lang w:eastAsia="zh-CN"/>
        </w:rPr>
        <w:t>0.43%</w:t>
      </w:r>
      <w:r w:rsidRPr="00D47ABC">
        <w:rPr>
          <w:rFonts w:ascii="微软雅黑" w:eastAsia="微软雅黑" w:hAnsi="微软雅黑" w:cs="微软雅黑" w:hint="eastAsia"/>
          <w:noProof/>
          <w:spacing w:val="7"/>
          <w:lang w:eastAsia="zh-CN"/>
        </w:rPr>
        <w:t>，结算价报每磅</w:t>
      </w:r>
      <w:r w:rsidRPr="00D47ABC">
        <w:rPr>
          <w:rFonts w:ascii="微软雅黑" w:eastAsia="微软雅黑" w:hAnsi="微软雅黑" w:cs="微软雅黑"/>
          <w:noProof/>
          <w:spacing w:val="7"/>
          <w:lang w:eastAsia="zh-CN"/>
        </w:rPr>
        <w:t>80.53</w:t>
      </w:r>
      <w:r w:rsidRPr="00D47ABC">
        <w:rPr>
          <w:rFonts w:ascii="微软雅黑" w:eastAsia="微软雅黑" w:hAnsi="微软雅黑" w:cs="微软雅黑" w:hint="eastAsia"/>
          <w:noProof/>
          <w:spacing w:val="7"/>
          <w:lang w:eastAsia="zh-CN"/>
        </w:rPr>
        <w:t>美分。</w:t>
      </w:r>
    </w:p>
    <w:p w14:paraId="0DE264A7" w14:textId="2BBB6A34" w:rsidR="00ED4A18" w:rsidRDefault="00D47ABC" w:rsidP="00D47ABC">
      <w:pPr>
        <w:spacing w:before="103" w:line="256" w:lineRule="auto"/>
        <w:ind w:right="210" w:firstLine="448"/>
        <w:jc w:val="both"/>
        <w:rPr>
          <w:rFonts w:ascii="微软雅黑" w:eastAsia="微软雅黑" w:hAnsi="微软雅黑" w:cs="微软雅黑" w:hint="eastAsia"/>
          <w:noProof/>
          <w:spacing w:val="7"/>
          <w:lang w:eastAsia="zh-CN"/>
        </w:rPr>
      </w:pPr>
      <w:r w:rsidRPr="00D47ABC">
        <w:rPr>
          <w:rFonts w:ascii="微软雅黑" w:eastAsia="微软雅黑" w:hAnsi="微软雅黑" w:cs="微软雅黑" w:hint="eastAsia"/>
          <w:noProof/>
          <w:spacing w:val="7"/>
          <w:lang w:eastAsia="zh-CN"/>
        </w:rPr>
        <w:lastRenderedPageBreak/>
        <w:t>国际方面，据美国农业部</w:t>
      </w:r>
      <w:r w:rsidRPr="00D47ABC">
        <w:rPr>
          <w:rFonts w:ascii="微软雅黑" w:eastAsia="微软雅黑" w:hAnsi="微软雅黑" w:cs="微软雅黑"/>
          <w:noProof/>
          <w:spacing w:val="7"/>
          <w:lang w:eastAsia="zh-CN"/>
        </w:rPr>
        <w:t>(USDA)</w:t>
      </w:r>
      <w:r w:rsidRPr="00D47ABC">
        <w:rPr>
          <w:rFonts w:ascii="微软雅黑" w:eastAsia="微软雅黑" w:hAnsi="微软雅黑" w:cs="微软雅黑" w:hint="eastAsia"/>
          <w:noProof/>
          <w:spacing w:val="7"/>
          <w:lang w:eastAsia="zh-CN"/>
        </w:rPr>
        <w:t>报告显示，</w:t>
      </w:r>
      <w:r w:rsidRPr="00D47ABC">
        <w:rPr>
          <w:rFonts w:ascii="微软雅黑" w:eastAsia="微软雅黑" w:hAnsi="微软雅黑" w:cs="微软雅黑"/>
          <w:noProof/>
          <w:spacing w:val="7"/>
          <w:lang w:eastAsia="zh-CN"/>
        </w:rPr>
        <w:t>7</w:t>
      </w:r>
      <w:r w:rsidRPr="00D47ABC">
        <w:rPr>
          <w:rFonts w:ascii="微软雅黑" w:eastAsia="微软雅黑" w:hAnsi="微软雅黑" w:cs="微软雅黑" w:hint="eastAsia"/>
          <w:noProof/>
          <w:spacing w:val="7"/>
          <w:lang w:eastAsia="zh-CN"/>
        </w:rPr>
        <w:t>月</w:t>
      </w:r>
      <w:r w:rsidRPr="00D47ABC">
        <w:rPr>
          <w:rFonts w:ascii="微软雅黑" w:eastAsia="微软雅黑" w:hAnsi="微软雅黑" w:cs="微软雅黑"/>
          <w:noProof/>
          <w:spacing w:val="7"/>
          <w:lang w:eastAsia="zh-CN"/>
        </w:rPr>
        <w:t>16</w:t>
      </w:r>
      <w:r w:rsidRPr="00D47ABC">
        <w:rPr>
          <w:rFonts w:ascii="微软雅黑" w:eastAsia="微软雅黑" w:hAnsi="微软雅黑" w:cs="微软雅黑" w:hint="eastAsia"/>
          <w:noProof/>
          <w:spacing w:val="7"/>
          <w:lang w:eastAsia="zh-CN"/>
        </w:rPr>
        <w:t>日止当周，美国当前年度陆地棉出口销售净增</w:t>
      </w:r>
      <w:r w:rsidRPr="00D47ABC">
        <w:rPr>
          <w:rFonts w:ascii="微软雅黑" w:eastAsia="微软雅黑" w:hAnsi="微软雅黑" w:cs="微软雅黑"/>
          <w:noProof/>
          <w:spacing w:val="7"/>
          <w:lang w:eastAsia="zh-CN"/>
        </w:rPr>
        <w:t>5.12</w:t>
      </w:r>
      <w:r w:rsidRPr="00D47ABC">
        <w:rPr>
          <w:rFonts w:ascii="微软雅黑" w:eastAsia="微软雅黑" w:hAnsi="微软雅黑" w:cs="微软雅黑" w:hint="eastAsia"/>
          <w:noProof/>
          <w:spacing w:val="7"/>
          <w:lang w:eastAsia="zh-CN"/>
        </w:rPr>
        <w:t>万包，较前周增加</w:t>
      </w:r>
      <w:r w:rsidRPr="00D47ABC">
        <w:rPr>
          <w:rFonts w:ascii="微软雅黑" w:eastAsia="微软雅黑" w:hAnsi="微软雅黑" w:cs="微软雅黑"/>
          <w:noProof/>
          <w:spacing w:val="7"/>
          <w:lang w:eastAsia="zh-CN"/>
        </w:rPr>
        <w:t>49%</w:t>
      </w:r>
      <w:r w:rsidRPr="00D47ABC">
        <w:rPr>
          <w:rFonts w:ascii="微软雅黑" w:eastAsia="微软雅黑" w:hAnsi="微软雅黑" w:cs="微软雅黑" w:hint="eastAsia"/>
          <w:noProof/>
          <w:spacing w:val="7"/>
          <w:lang w:eastAsia="zh-CN"/>
        </w:rPr>
        <w:t>，较前四周均值减少</w:t>
      </w:r>
      <w:r w:rsidRPr="00D47ABC">
        <w:rPr>
          <w:rFonts w:ascii="微软雅黑" w:eastAsia="微软雅黑" w:hAnsi="微软雅黑" w:cs="微软雅黑"/>
          <w:noProof/>
          <w:spacing w:val="7"/>
          <w:lang w:eastAsia="zh-CN"/>
        </w:rPr>
        <w:t>12%</w:t>
      </w:r>
      <w:r w:rsidRPr="00D47ABC">
        <w:rPr>
          <w:rFonts w:ascii="微软雅黑" w:eastAsia="微软雅黑" w:hAnsi="微软雅黑" w:cs="微软雅黑" w:hint="eastAsia"/>
          <w:noProof/>
          <w:spacing w:val="7"/>
          <w:lang w:eastAsia="zh-CN"/>
        </w:rPr>
        <w:t>。当周美国陆地棉出口装运量</w:t>
      </w:r>
      <w:r w:rsidRPr="00D47ABC">
        <w:rPr>
          <w:rFonts w:ascii="微软雅黑" w:eastAsia="微软雅黑" w:hAnsi="微软雅黑" w:cs="微软雅黑"/>
          <w:noProof/>
          <w:spacing w:val="7"/>
          <w:lang w:eastAsia="zh-CN"/>
        </w:rPr>
        <w:t>27.6</w:t>
      </w:r>
      <w:r w:rsidRPr="00D47ABC">
        <w:rPr>
          <w:rFonts w:ascii="微软雅黑" w:eastAsia="微软雅黑" w:hAnsi="微软雅黑" w:cs="微软雅黑" w:hint="eastAsia"/>
          <w:noProof/>
          <w:spacing w:val="7"/>
          <w:lang w:eastAsia="zh-CN"/>
        </w:rPr>
        <w:t>万包，较前周增加</w:t>
      </w:r>
      <w:r w:rsidRPr="00D47ABC">
        <w:rPr>
          <w:rFonts w:ascii="微软雅黑" w:eastAsia="微软雅黑" w:hAnsi="微软雅黑" w:cs="微软雅黑"/>
          <w:noProof/>
          <w:spacing w:val="7"/>
          <w:lang w:eastAsia="zh-CN"/>
        </w:rPr>
        <w:t>29%</w:t>
      </w:r>
      <w:r w:rsidRPr="00D47ABC">
        <w:rPr>
          <w:rFonts w:ascii="微软雅黑" w:eastAsia="微软雅黑" w:hAnsi="微软雅黑" w:cs="微软雅黑" w:hint="eastAsia"/>
          <w:noProof/>
          <w:spacing w:val="7"/>
          <w:lang w:eastAsia="zh-CN"/>
        </w:rPr>
        <w:t>，较前四周平均水平增加</w:t>
      </w:r>
      <w:r w:rsidRPr="00D47ABC">
        <w:rPr>
          <w:rFonts w:ascii="微软雅黑" w:eastAsia="微软雅黑" w:hAnsi="微软雅黑" w:cs="微软雅黑"/>
          <w:noProof/>
          <w:spacing w:val="7"/>
          <w:lang w:eastAsia="zh-CN"/>
        </w:rPr>
        <w:t>15%</w:t>
      </w:r>
      <w:r w:rsidRPr="00D47ABC">
        <w:rPr>
          <w:rFonts w:ascii="微软雅黑" w:eastAsia="微软雅黑" w:hAnsi="微软雅黑" w:cs="微软雅黑" w:hint="eastAsia"/>
          <w:noProof/>
          <w:spacing w:val="7"/>
          <w:lang w:eastAsia="zh-CN"/>
        </w:rPr>
        <w:t>。当周美国棉花出口签约量、装船量环比均增加，需求有所好转</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618B3BD5" w:rsidR="00C24CC6" w:rsidRDefault="00D47ABC"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7BF35AAE" wp14:editId="265D3DB3">
            <wp:extent cx="5271770" cy="2186305"/>
            <wp:effectExtent l="0" t="0" r="5080" b="4445"/>
            <wp:docPr id="1106243786" name="图片 6" descr="QQ截图2026072908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QQ截图202607290802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8630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1B6B" w14:textId="77777777" w:rsidR="00757F52" w:rsidRDefault="00757F52">
      <w:pPr>
        <w:ind w:right="210" w:firstLine="420"/>
      </w:pPr>
      <w:r>
        <w:separator/>
      </w:r>
    </w:p>
  </w:endnote>
  <w:endnote w:type="continuationSeparator" w:id="0">
    <w:p w14:paraId="1E94AD54" w14:textId="77777777" w:rsidR="00757F52" w:rsidRDefault="00757F52">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191AA" w14:textId="77777777" w:rsidR="00757F52" w:rsidRDefault="00757F52">
      <w:pPr>
        <w:ind w:right="210" w:firstLine="420"/>
      </w:pPr>
      <w:r>
        <w:separator/>
      </w:r>
    </w:p>
  </w:footnote>
  <w:footnote w:type="continuationSeparator" w:id="0">
    <w:p w14:paraId="2114B1CE" w14:textId="77777777" w:rsidR="00757F52" w:rsidRDefault="00757F52">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2026-07-29T01:26:00Z</dcterms:created>
  <dcterms:modified xsi:type="dcterms:W3CDTF">2026-07-29T01:26:00Z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