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61D642EC"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88093F">
        <w:rPr>
          <w:rFonts w:ascii="微软雅黑" w:eastAsia="微软雅黑" w:hAnsi="微软雅黑" w:cs="微软雅黑" w:hint="eastAsia"/>
          <w:b/>
          <w:bCs/>
          <w:color w:val="005D97"/>
          <w:spacing w:val="-22"/>
          <w:sz w:val="48"/>
          <w:szCs w:val="48"/>
          <w:lang w:eastAsia="zh-CN"/>
        </w:rPr>
        <w:t>11</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5F42CD38" w:rsidR="007B3E0B" w:rsidRDefault="0088093F"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88093F">
        <w:rPr>
          <w:rFonts w:ascii="微软雅黑" w:eastAsia="微软雅黑" w:hAnsi="微软雅黑" w:cs="微软雅黑"/>
          <w:spacing w:val="12"/>
          <w:lang w:eastAsia="zh-CN"/>
        </w:rPr>
        <w:t>美国三大股指小幅收跌，道指跌0.11%报53975.98点，标普500指数跌0.06%报7753.11点，纳指跌0.32%报26605.36点。美元指数涨0.21%报99.81，非美货币多数下跌，欧元兑美元跌0.13%报1.1544，英镑兑美元涨0.11%报1.3507，澳元兑美元跌0.16%报0.7055，美元兑日元涨0.95%报159.30，美元兑瑞郎涨0.28%报0.8103，离岸人民币兑美元跌15.6个基点报6.7451。国际贵金属期货普遍收涨，COMEX黄金期货涨1.11%报4448.6美元/盎司，COMEX白银期货涨3.75%报65.88美元/盎司。</w:t>
      </w:r>
      <w:r w:rsidR="00900347" w:rsidRPr="00EA0E37">
        <w:rPr>
          <w:rFonts w:ascii="微软雅黑" w:eastAsia="微软雅黑" w:hAnsi="微软雅黑" w:cs="微软雅黑" w:hint="eastAsia"/>
          <w:spacing w:val="12"/>
          <w:lang w:eastAsia="zh-CN"/>
        </w:rPr>
        <w:t>I</w:t>
      </w:r>
      <w:r w:rsidR="007B3E0B" w:rsidRPr="00EA0E37">
        <w:rPr>
          <w:rFonts w:ascii="微软雅黑" w:eastAsia="微软雅黑" w:hAnsi="微软雅黑" w:cs="微软雅黑"/>
          <w:spacing w:val="12"/>
          <w:lang w:eastAsia="zh-CN"/>
        </w:rPr>
        <w:t>CE</w:t>
      </w:r>
      <w:r w:rsidR="007B3E0B" w:rsidRPr="00EA0E37">
        <w:rPr>
          <w:rFonts w:ascii="微软雅黑" w:eastAsia="微软雅黑" w:hAnsi="微软雅黑" w:cs="微软雅黑" w:hint="eastAsia"/>
          <w:spacing w:val="12"/>
          <w:lang w:eastAsia="zh-CN"/>
        </w:rPr>
        <w:t>原糖主力合约</w:t>
      </w:r>
      <w:r w:rsidR="009B536C" w:rsidRPr="00EA0E37">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0.06</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w:t>
      </w:r>
      <w:r>
        <w:rPr>
          <w:rFonts w:ascii="微软雅黑" w:eastAsia="微软雅黑" w:hAnsi="微软雅黑" w:cs="微软雅黑" w:hint="eastAsia"/>
          <w:spacing w:val="12"/>
          <w:lang w:eastAsia="zh-CN"/>
        </w:rPr>
        <w:t>6.46</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跌0.75</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sidR="0052513A">
        <w:rPr>
          <w:rFonts w:ascii="微软雅黑" w:eastAsia="微软雅黑" w:hAnsi="微软雅黑" w:cs="微软雅黑" w:hint="eastAsia"/>
          <w:spacing w:val="12"/>
          <w:lang w:eastAsia="zh-CN"/>
        </w:rPr>
        <w:t>3.</w:t>
      </w:r>
      <w:r>
        <w:rPr>
          <w:rFonts w:ascii="微软雅黑" w:eastAsia="微软雅黑" w:hAnsi="微软雅黑" w:cs="微软雅黑" w:hint="eastAsia"/>
          <w:spacing w:val="12"/>
          <w:lang w:eastAsia="zh-CN"/>
        </w:rPr>
        <w:t>77</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2040E566" w:rsidR="00557736" w:rsidRPr="0022448B" w:rsidRDefault="0088093F"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77079D64" wp14:editId="3960AD32">
            <wp:extent cx="5611909" cy="3702253"/>
            <wp:effectExtent l="0" t="0" r="8255" b="0"/>
            <wp:docPr id="11306938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9018" cy="3706943"/>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090B26D4" w14:textId="77777777" w:rsidR="0088093F" w:rsidRPr="0088093F" w:rsidRDefault="00863E18" w:rsidP="0088093F">
      <w:pPr>
        <w:spacing w:before="102" w:line="257" w:lineRule="auto"/>
        <w:ind w:right="210" w:firstLine="436"/>
        <w:jc w:val="both"/>
        <w:rPr>
          <w:rFonts w:ascii="微软雅黑" w:eastAsia="微软雅黑" w:hAnsi="微软雅黑" w:cs="微软雅黑"/>
          <w:color w:val="auto"/>
          <w:spacing w:val="4"/>
          <w:lang w:eastAsia="zh-CN"/>
        </w:rPr>
      </w:pPr>
      <w:r>
        <w:rPr>
          <w:rFonts w:ascii="微软雅黑" w:eastAsia="微软雅黑" w:hAnsi="微软雅黑" w:cs="微软雅黑" w:hint="eastAsia"/>
          <w:color w:val="auto"/>
          <w:spacing w:val="4"/>
          <w:lang w:eastAsia="zh-CN"/>
        </w:rPr>
        <w:t>【</w:t>
      </w:r>
      <w:r w:rsidR="0088093F" w:rsidRPr="0088093F">
        <w:rPr>
          <w:rFonts w:ascii="微软雅黑" w:eastAsia="微软雅黑" w:hAnsi="微软雅黑" w:cs="微软雅黑"/>
          <w:color w:val="auto"/>
          <w:spacing w:val="4"/>
          <w:lang w:eastAsia="zh-CN"/>
        </w:rPr>
        <w:t>美国总统特朗普称，伊朗正在要求就过去五个月军事冲突中遭受的损失获得赔偿，美国同样要求伊朗进行赔偿，已指示代表们将这一要求明确纳入未来所有谈判之中。与此同时，有消息称，数周来特朗普一直在做铺垫工作，一旦伊朗重新全面开放霍尔木兹海峡，美国就宣布伊朗战争获胜。特朗普甚至愿意在未达成核协议的情况下抽身而退。不过，随着伊朗为开放霍尔木兹海峡开出更高筹码，这一目标也更加难以实现。</w:t>
      </w:r>
      <w:r w:rsidRPr="0088093F">
        <w:rPr>
          <w:rFonts w:ascii="微软雅黑" w:eastAsia="微软雅黑" w:hAnsi="微软雅黑" w:cs="微软雅黑" w:hint="eastAsia"/>
          <w:color w:val="auto"/>
          <w:spacing w:val="4"/>
          <w:lang w:eastAsia="zh-CN"/>
        </w:rPr>
        <w:t>】</w:t>
      </w:r>
    </w:p>
    <w:p w14:paraId="34102727" w14:textId="0BDD46CB" w:rsidR="00863E18" w:rsidRPr="0088093F"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88093F">
        <w:rPr>
          <w:rFonts w:ascii="微软雅黑" w:eastAsia="微软雅黑" w:hAnsi="微软雅黑" w:cs="微软雅黑" w:hint="eastAsia"/>
          <w:color w:val="auto"/>
          <w:spacing w:val="4"/>
          <w:lang w:eastAsia="zh-CN"/>
        </w:rPr>
        <w:t>【</w:t>
      </w:r>
      <w:r w:rsidRPr="0088093F">
        <w:rPr>
          <w:rFonts w:ascii="微软雅黑" w:eastAsia="微软雅黑" w:hAnsi="微软雅黑" w:cs="微软雅黑"/>
          <w:color w:val="auto"/>
          <w:spacing w:val="4"/>
          <w:lang w:eastAsia="zh-CN"/>
        </w:rPr>
        <w:t>伊朗外交部发言人巴加埃表示，美国对伊朗实施海上封锁并采取军事行动，是霍尔木兹海峡无法全面恢复安全通航的主要障碍。伊朗与阿曼已就商业船舶临时通航路线达成初步共识，正就联合声明部分内容继续磋商。</w:t>
      </w:r>
      <w:r w:rsidRPr="0088093F">
        <w:rPr>
          <w:rFonts w:ascii="微软雅黑" w:eastAsia="微软雅黑" w:hAnsi="微软雅黑" w:cs="微软雅黑" w:hint="eastAsia"/>
          <w:color w:val="auto"/>
          <w:spacing w:val="4"/>
          <w:lang w:eastAsia="zh-CN"/>
        </w:rPr>
        <w:t>】</w:t>
      </w:r>
    </w:p>
    <w:p w14:paraId="44D59D47" w14:textId="307A43AE" w:rsidR="002E37FC" w:rsidRPr="0088093F"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88093F">
        <w:rPr>
          <w:rFonts w:ascii="微软雅黑" w:eastAsia="微软雅黑" w:hAnsi="微软雅黑" w:cs="微软雅黑" w:hint="eastAsia"/>
          <w:color w:val="auto"/>
          <w:spacing w:val="4"/>
          <w:lang w:eastAsia="zh-CN"/>
        </w:rPr>
        <w:lastRenderedPageBreak/>
        <w:t>【</w:t>
      </w:r>
      <w:r w:rsidR="0088093F" w:rsidRPr="0088093F">
        <w:rPr>
          <w:rFonts w:ascii="微软雅黑" w:eastAsia="微软雅黑" w:hAnsi="微软雅黑" w:cs="微软雅黑"/>
          <w:color w:val="auto"/>
          <w:spacing w:val="4"/>
          <w:lang w:eastAsia="zh-CN"/>
        </w:rPr>
        <w:t>白宫国家经济委员会主任哈塞特表示，如果自己身在美联储，他会选择维持利率不变或降息。他同时排除接替库克出任美联储理事的可能性。哈塞特指出，AI可能成为未来两年最重要的政策议题，并称美国政府正在密切审查AI安全问题。</w:t>
      </w:r>
      <w:r w:rsidRPr="0088093F">
        <w:rPr>
          <w:rFonts w:ascii="微软雅黑" w:eastAsia="微软雅黑" w:hAnsi="微软雅黑" w:cs="微软雅黑" w:hint="eastAsia"/>
          <w:color w:val="auto"/>
          <w:spacing w:val="4"/>
          <w:lang w:eastAsia="zh-CN"/>
        </w:rPr>
        <w:t>】</w:t>
      </w:r>
    </w:p>
    <w:p w14:paraId="3CED6F5C" w14:textId="4A51B54D" w:rsidR="00A47960" w:rsidRPr="0088093F"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88093F">
        <w:rPr>
          <w:rFonts w:ascii="微软雅黑" w:eastAsia="微软雅黑" w:hAnsi="微软雅黑" w:cs="微软雅黑" w:hint="eastAsia"/>
          <w:color w:val="auto"/>
          <w:spacing w:val="4"/>
          <w:lang w:eastAsia="zh-CN"/>
        </w:rPr>
        <w:t>【</w:t>
      </w:r>
      <w:r w:rsidR="0088093F" w:rsidRPr="0088093F">
        <w:rPr>
          <w:rFonts w:ascii="微软雅黑" w:eastAsia="微软雅黑" w:hAnsi="微软雅黑" w:cs="微软雅黑"/>
          <w:color w:val="auto"/>
          <w:spacing w:val="4"/>
          <w:lang w:eastAsia="zh-CN"/>
        </w:rPr>
        <w:t>美联储官员哈马克表示，可能需要“一定次数”的加息。不想预判加息次数及最终利率水平。当前利率并未对经济造成实质性限制。现在是美联储开始采取行动的时候。不认为通胀会自行回落，仍未看到就业市场存在问题。市场是美联储的补充，而非替代</w:t>
      </w:r>
      <w:r w:rsidR="0052513A" w:rsidRPr="0088093F">
        <w:rPr>
          <w:rFonts w:ascii="微软雅黑" w:eastAsia="微软雅黑" w:hAnsi="微软雅黑" w:cs="微软雅黑"/>
          <w:color w:val="auto"/>
          <w:spacing w:val="4"/>
          <w:lang w:eastAsia="zh-CN"/>
        </w:rPr>
        <w:t>。</w:t>
      </w:r>
      <w:r w:rsidRPr="0088093F">
        <w:rPr>
          <w:rFonts w:ascii="微软雅黑" w:eastAsia="微软雅黑" w:hAnsi="微软雅黑" w:cs="微软雅黑" w:hint="eastAsia"/>
          <w:color w:val="auto"/>
          <w:spacing w:val="4"/>
          <w:lang w:eastAsia="zh-CN"/>
        </w:rPr>
        <w:t>】</w:t>
      </w:r>
    </w:p>
    <w:p w14:paraId="0BD05EFE" w14:textId="4C416E1B" w:rsidR="00F50098" w:rsidRPr="009B536C"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88093F">
        <w:rPr>
          <w:rFonts w:ascii="微软雅黑" w:eastAsia="微软雅黑" w:hAnsi="微软雅黑" w:cs="微软雅黑" w:hint="eastAsia"/>
          <w:color w:val="auto"/>
          <w:spacing w:val="4"/>
          <w:lang w:eastAsia="zh-CN"/>
        </w:rPr>
        <w:t>【</w:t>
      </w:r>
      <w:r w:rsidR="0088093F" w:rsidRPr="0088093F">
        <w:rPr>
          <w:rFonts w:ascii="微软雅黑" w:eastAsia="微软雅黑" w:hAnsi="微软雅黑" w:cs="微软雅黑"/>
          <w:color w:val="auto"/>
          <w:spacing w:val="4"/>
          <w:lang w:eastAsia="zh-CN"/>
        </w:rPr>
        <w:t>日本央行7月政策会议“意见摘要”显示，多位官员明确警告通胀上行风险正在加剧，并直接呼吁“加息步伐可能快于市场预期”。摘要发布后，交易员认为日本央行在9月加息的可能性约为三分之二，到10月加息的概率已高达96%。</w:t>
      </w:r>
      <w:r w:rsidRPr="009B536C">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88093F" w:rsidRPr="008D0ACF" w14:paraId="6CB27548" w14:textId="77777777" w:rsidTr="00E43653">
        <w:trPr>
          <w:trHeight w:val="620"/>
        </w:trPr>
        <w:tc>
          <w:tcPr>
            <w:tcW w:w="1701" w:type="dxa"/>
          </w:tcPr>
          <w:bookmarkEnd w:id="0"/>
          <w:p w14:paraId="06D90DF4" w14:textId="5E8A2C43" w:rsidR="0088093F" w:rsidRPr="00A47960" w:rsidRDefault="0088093F" w:rsidP="0088093F">
            <w:pPr>
              <w:spacing w:before="230" w:line="191" w:lineRule="auto"/>
              <w:ind w:right="210"/>
              <w:jc w:val="center"/>
              <w:rPr>
                <w:rFonts w:ascii="微软雅黑" w:eastAsia="微软雅黑" w:hAnsi="微软雅黑" w:cs="微软雅黑" w:hint="eastAsia"/>
                <w:b/>
                <w:bCs/>
                <w:spacing w:val="3"/>
                <w:sz w:val="19"/>
                <w:szCs w:val="19"/>
                <w:lang w:eastAsia="zh-CN"/>
              </w:rPr>
            </w:pPr>
            <w:r w:rsidRPr="0088093F">
              <w:rPr>
                <w:rFonts w:ascii="微软雅黑" w:eastAsia="微软雅黑" w:hAnsi="微软雅黑" w:cs="微软雅黑"/>
                <w:b/>
                <w:bCs/>
                <w:spacing w:val="3"/>
                <w:sz w:val="19"/>
                <w:szCs w:val="19"/>
                <w:lang w:eastAsia="zh-CN"/>
              </w:rPr>
              <w:t>2026/8/11</w:t>
            </w:r>
          </w:p>
        </w:tc>
        <w:tc>
          <w:tcPr>
            <w:tcW w:w="1314" w:type="dxa"/>
          </w:tcPr>
          <w:p w14:paraId="4FF8F240" w14:textId="246BBFD4" w:rsidR="0088093F" w:rsidRPr="00A47960" w:rsidRDefault="0088093F" w:rsidP="0088093F">
            <w:pPr>
              <w:spacing w:before="230" w:line="191" w:lineRule="auto"/>
              <w:ind w:right="210"/>
              <w:jc w:val="center"/>
              <w:rPr>
                <w:rFonts w:ascii="微软雅黑" w:eastAsia="微软雅黑" w:hAnsi="微软雅黑" w:cs="微软雅黑" w:hint="eastAsia"/>
                <w:b/>
                <w:bCs/>
                <w:spacing w:val="3"/>
                <w:sz w:val="19"/>
                <w:szCs w:val="19"/>
                <w:lang w:eastAsia="zh-CN"/>
              </w:rPr>
            </w:pPr>
            <w:r w:rsidRPr="0088093F">
              <w:rPr>
                <w:rFonts w:ascii="微软雅黑" w:eastAsia="微软雅黑" w:hAnsi="微软雅黑" w:cs="微软雅黑"/>
                <w:b/>
                <w:bCs/>
                <w:spacing w:val="3"/>
                <w:sz w:val="19"/>
                <w:szCs w:val="19"/>
                <w:lang w:eastAsia="zh-CN"/>
              </w:rPr>
              <w:t>12:30</w:t>
            </w:r>
          </w:p>
        </w:tc>
        <w:tc>
          <w:tcPr>
            <w:tcW w:w="6344" w:type="dxa"/>
          </w:tcPr>
          <w:p w14:paraId="1C726C53" w14:textId="729E6586" w:rsidR="0088093F" w:rsidRPr="007B4F11" w:rsidRDefault="0088093F" w:rsidP="0088093F">
            <w:pPr>
              <w:spacing w:before="230" w:line="191" w:lineRule="auto"/>
              <w:ind w:right="210"/>
              <w:jc w:val="center"/>
              <w:rPr>
                <w:rFonts w:ascii="微软雅黑" w:eastAsia="微软雅黑" w:hAnsi="微软雅黑" w:cs="微软雅黑" w:hint="eastAsia"/>
                <w:b/>
                <w:bCs/>
                <w:spacing w:val="3"/>
                <w:sz w:val="19"/>
                <w:szCs w:val="19"/>
                <w:lang w:eastAsia="zh-CN"/>
              </w:rPr>
            </w:pPr>
            <w:r w:rsidRPr="0088093F">
              <w:rPr>
                <w:rFonts w:ascii="微软雅黑" w:eastAsia="微软雅黑" w:hAnsi="微软雅黑" w:cs="微软雅黑"/>
                <w:b/>
                <w:bCs/>
                <w:spacing w:val="3"/>
                <w:sz w:val="19"/>
                <w:szCs w:val="19"/>
                <w:lang w:eastAsia="zh-CN"/>
              </w:rPr>
              <w:t>澳洲联储公布利率决议</w:t>
            </w:r>
          </w:p>
        </w:tc>
      </w:tr>
      <w:tr w:rsidR="0088093F" w:rsidRPr="008D0ACF" w14:paraId="4D78ECAE" w14:textId="77777777" w:rsidTr="006D0765">
        <w:trPr>
          <w:trHeight w:val="620"/>
        </w:trPr>
        <w:tc>
          <w:tcPr>
            <w:tcW w:w="1701" w:type="dxa"/>
            <w:shd w:val="clear" w:color="auto" w:fill="DAE3F4" w:themeFill="accent1" w:themeFillTint="33"/>
          </w:tcPr>
          <w:p w14:paraId="7F9DA0F6" w14:textId="6B431EB7" w:rsidR="0088093F" w:rsidRPr="00D47ABC" w:rsidRDefault="0088093F" w:rsidP="0088093F">
            <w:pPr>
              <w:spacing w:before="230" w:line="191" w:lineRule="auto"/>
              <w:ind w:right="210"/>
              <w:jc w:val="center"/>
              <w:rPr>
                <w:rFonts w:ascii="微软雅黑" w:eastAsia="微软雅黑" w:hAnsi="微软雅黑" w:cs="微软雅黑" w:hint="eastAsia"/>
                <w:b/>
                <w:bCs/>
                <w:spacing w:val="3"/>
                <w:sz w:val="19"/>
                <w:szCs w:val="19"/>
                <w:lang w:eastAsia="zh-CN"/>
              </w:rPr>
            </w:pPr>
            <w:r w:rsidRPr="0088093F">
              <w:rPr>
                <w:rFonts w:ascii="微软雅黑" w:eastAsia="微软雅黑" w:hAnsi="微软雅黑" w:cs="微软雅黑"/>
                <w:b/>
                <w:bCs/>
                <w:spacing w:val="3"/>
                <w:sz w:val="19"/>
                <w:szCs w:val="19"/>
                <w:lang w:eastAsia="zh-CN"/>
              </w:rPr>
              <w:t>2026/8/11</w:t>
            </w:r>
          </w:p>
        </w:tc>
        <w:tc>
          <w:tcPr>
            <w:tcW w:w="1314" w:type="dxa"/>
            <w:shd w:val="clear" w:color="auto" w:fill="DAE3F4" w:themeFill="accent1" w:themeFillTint="33"/>
          </w:tcPr>
          <w:p w14:paraId="5D34EE48" w14:textId="1B599B2C" w:rsidR="0088093F" w:rsidRPr="00F50098" w:rsidRDefault="0088093F" w:rsidP="0088093F">
            <w:pPr>
              <w:spacing w:before="230" w:line="191" w:lineRule="auto"/>
              <w:ind w:right="210"/>
              <w:jc w:val="center"/>
              <w:rPr>
                <w:rFonts w:ascii="微软雅黑" w:eastAsia="微软雅黑" w:hAnsi="微软雅黑" w:cs="微软雅黑" w:hint="eastAsia"/>
                <w:b/>
                <w:bCs/>
                <w:spacing w:val="3"/>
                <w:sz w:val="19"/>
                <w:szCs w:val="19"/>
                <w:lang w:eastAsia="zh-CN"/>
              </w:rPr>
            </w:pPr>
            <w:r w:rsidRPr="0088093F">
              <w:rPr>
                <w:rFonts w:ascii="微软雅黑" w:eastAsia="微软雅黑" w:hAnsi="微软雅黑" w:cs="微软雅黑"/>
                <w:b/>
                <w:bCs/>
                <w:spacing w:val="3"/>
                <w:sz w:val="19"/>
                <w:szCs w:val="19"/>
                <w:lang w:eastAsia="zh-CN"/>
              </w:rPr>
              <w:t>22:00</w:t>
            </w:r>
          </w:p>
        </w:tc>
        <w:tc>
          <w:tcPr>
            <w:tcW w:w="6344" w:type="dxa"/>
            <w:shd w:val="clear" w:color="auto" w:fill="DAE3F4" w:themeFill="accent1" w:themeFillTint="33"/>
          </w:tcPr>
          <w:p w14:paraId="52A6362B" w14:textId="51D52689" w:rsidR="0088093F" w:rsidRPr="00F50098" w:rsidRDefault="0088093F" w:rsidP="0088093F">
            <w:pPr>
              <w:spacing w:before="230" w:line="191" w:lineRule="auto"/>
              <w:ind w:right="210"/>
              <w:jc w:val="center"/>
              <w:rPr>
                <w:rFonts w:ascii="微软雅黑" w:eastAsia="微软雅黑" w:hAnsi="微软雅黑" w:cs="微软雅黑" w:hint="eastAsia"/>
                <w:b/>
                <w:bCs/>
                <w:spacing w:val="3"/>
                <w:sz w:val="19"/>
                <w:szCs w:val="19"/>
                <w:lang w:eastAsia="zh-CN"/>
              </w:rPr>
            </w:pPr>
            <w:r w:rsidRPr="0088093F">
              <w:rPr>
                <w:rFonts w:ascii="微软雅黑" w:eastAsia="微软雅黑" w:hAnsi="微软雅黑" w:cs="微软雅黑"/>
                <w:b/>
                <w:bCs/>
                <w:spacing w:val="3"/>
                <w:sz w:val="19"/>
                <w:szCs w:val="19"/>
                <w:lang w:eastAsia="zh-CN"/>
              </w:rPr>
              <w:t>美国7月成屋销售总数年化</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6A304BAB" w14:textId="77777777" w:rsidR="00CB6F24" w:rsidRPr="00CB6F24" w:rsidRDefault="00CB6F24" w:rsidP="00CB6F24">
      <w:pPr>
        <w:spacing w:before="103" w:line="256" w:lineRule="auto"/>
        <w:ind w:right="210" w:firstLineChars="200" w:firstLine="448"/>
        <w:rPr>
          <w:rFonts w:ascii="微软雅黑" w:eastAsia="微软雅黑" w:hAnsi="微软雅黑" w:cs="微软雅黑"/>
          <w:spacing w:val="7"/>
          <w:lang w:eastAsia="zh-CN"/>
        </w:rPr>
      </w:pPr>
      <w:r w:rsidRPr="00CB6F24">
        <w:rPr>
          <w:rFonts w:ascii="微软雅黑" w:eastAsia="微软雅黑" w:hAnsi="微软雅黑" w:cs="微软雅黑" w:hint="eastAsia"/>
          <w:spacing w:val="7"/>
          <w:lang w:eastAsia="zh-CN"/>
        </w:rPr>
        <w:t>隔夜，美元指数涨</w:t>
      </w:r>
      <w:r w:rsidRPr="00CB6F24">
        <w:rPr>
          <w:rFonts w:ascii="微软雅黑" w:eastAsia="微软雅黑" w:hAnsi="微软雅黑" w:cs="微软雅黑"/>
          <w:spacing w:val="7"/>
          <w:lang w:eastAsia="zh-CN"/>
        </w:rPr>
        <w:t>0.21%</w:t>
      </w:r>
      <w:r w:rsidRPr="00CB6F24">
        <w:rPr>
          <w:rFonts w:ascii="微软雅黑" w:eastAsia="微软雅黑" w:hAnsi="微软雅黑" w:cs="微软雅黑" w:hint="eastAsia"/>
          <w:spacing w:val="7"/>
          <w:lang w:eastAsia="zh-CN"/>
        </w:rPr>
        <w:t>报</w:t>
      </w:r>
      <w:r w:rsidRPr="00CB6F24">
        <w:rPr>
          <w:rFonts w:ascii="微软雅黑" w:eastAsia="微软雅黑" w:hAnsi="微软雅黑" w:cs="微软雅黑"/>
          <w:spacing w:val="7"/>
          <w:lang w:eastAsia="zh-CN"/>
        </w:rPr>
        <w:t>99.81</w:t>
      </w:r>
      <w:r w:rsidRPr="00CB6F24">
        <w:rPr>
          <w:rFonts w:ascii="微软雅黑" w:eastAsia="微软雅黑" w:hAnsi="微软雅黑" w:cs="微软雅黑" w:hint="eastAsia"/>
          <w:spacing w:val="7"/>
          <w:lang w:eastAsia="zh-CN"/>
        </w:rPr>
        <w:t>，非美货币多数下跌，欧元兑美元跌</w:t>
      </w:r>
      <w:r w:rsidRPr="00CB6F24">
        <w:rPr>
          <w:rFonts w:ascii="微软雅黑" w:eastAsia="微软雅黑" w:hAnsi="微软雅黑" w:cs="微软雅黑"/>
          <w:spacing w:val="7"/>
          <w:lang w:eastAsia="zh-CN"/>
        </w:rPr>
        <w:t>0.13%</w:t>
      </w:r>
      <w:r w:rsidRPr="00CB6F24">
        <w:rPr>
          <w:rFonts w:ascii="微软雅黑" w:eastAsia="微软雅黑" w:hAnsi="微软雅黑" w:cs="微软雅黑" w:hint="eastAsia"/>
          <w:spacing w:val="7"/>
          <w:lang w:eastAsia="zh-CN"/>
        </w:rPr>
        <w:t>报</w:t>
      </w:r>
      <w:r w:rsidRPr="00CB6F24">
        <w:rPr>
          <w:rFonts w:ascii="微软雅黑" w:eastAsia="微软雅黑" w:hAnsi="微软雅黑" w:cs="微软雅黑"/>
          <w:spacing w:val="7"/>
          <w:lang w:eastAsia="zh-CN"/>
        </w:rPr>
        <w:t>1.1544</w:t>
      </w:r>
      <w:r w:rsidRPr="00CB6F24">
        <w:rPr>
          <w:rFonts w:ascii="微软雅黑" w:eastAsia="微软雅黑" w:hAnsi="微软雅黑" w:cs="微软雅黑" w:hint="eastAsia"/>
          <w:spacing w:val="7"/>
          <w:lang w:eastAsia="zh-CN"/>
        </w:rPr>
        <w:t>，英镑兑美元涨</w:t>
      </w:r>
      <w:r w:rsidRPr="00CB6F24">
        <w:rPr>
          <w:rFonts w:ascii="微软雅黑" w:eastAsia="微软雅黑" w:hAnsi="微软雅黑" w:cs="微软雅黑"/>
          <w:spacing w:val="7"/>
          <w:lang w:eastAsia="zh-CN"/>
        </w:rPr>
        <w:t>0.11%</w:t>
      </w:r>
      <w:r w:rsidRPr="00CB6F24">
        <w:rPr>
          <w:rFonts w:ascii="微软雅黑" w:eastAsia="微软雅黑" w:hAnsi="微软雅黑" w:cs="微软雅黑" w:hint="eastAsia"/>
          <w:spacing w:val="7"/>
          <w:lang w:eastAsia="zh-CN"/>
        </w:rPr>
        <w:t>报</w:t>
      </w:r>
      <w:r w:rsidRPr="00CB6F24">
        <w:rPr>
          <w:rFonts w:ascii="微软雅黑" w:eastAsia="微软雅黑" w:hAnsi="微软雅黑" w:cs="微软雅黑"/>
          <w:spacing w:val="7"/>
          <w:lang w:eastAsia="zh-CN"/>
        </w:rPr>
        <w:t>1.3507</w:t>
      </w:r>
      <w:r w:rsidRPr="00CB6F24">
        <w:rPr>
          <w:rFonts w:ascii="微软雅黑" w:eastAsia="微软雅黑" w:hAnsi="微软雅黑" w:cs="微软雅黑" w:hint="eastAsia"/>
          <w:spacing w:val="7"/>
          <w:lang w:eastAsia="zh-CN"/>
        </w:rPr>
        <w:t>，美元兑日元涨</w:t>
      </w:r>
      <w:r w:rsidRPr="00CB6F24">
        <w:rPr>
          <w:rFonts w:ascii="微软雅黑" w:eastAsia="微软雅黑" w:hAnsi="微软雅黑" w:cs="微软雅黑"/>
          <w:spacing w:val="7"/>
          <w:lang w:eastAsia="zh-CN"/>
        </w:rPr>
        <w:t>0.95%</w:t>
      </w:r>
      <w:r w:rsidRPr="00CB6F24">
        <w:rPr>
          <w:rFonts w:ascii="微软雅黑" w:eastAsia="微软雅黑" w:hAnsi="微软雅黑" w:cs="微软雅黑" w:hint="eastAsia"/>
          <w:spacing w:val="7"/>
          <w:lang w:eastAsia="zh-CN"/>
        </w:rPr>
        <w:t>报</w:t>
      </w:r>
      <w:r w:rsidRPr="00CB6F24">
        <w:rPr>
          <w:rFonts w:ascii="微软雅黑" w:eastAsia="微软雅黑" w:hAnsi="微软雅黑" w:cs="微软雅黑"/>
          <w:spacing w:val="7"/>
          <w:lang w:eastAsia="zh-CN"/>
        </w:rPr>
        <w:t>159.30</w:t>
      </w:r>
      <w:r w:rsidRPr="00CB6F24">
        <w:rPr>
          <w:rFonts w:ascii="微软雅黑" w:eastAsia="微软雅黑" w:hAnsi="微软雅黑" w:cs="微软雅黑" w:hint="eastAsia"/>
          <w:spacing w:val="7"/>
          <w:lang w:eastAsia="zh-CN"/>
        </w:rPr>
        <w:t>。</w:t>
      </w:r>
    </w:p>
    <w:p w14:paraId="59D3CAA5" w14:textId="77777777" w:rsidR="00CB6F24" w:rsidRPr="00CB6F24" w:rsidRDefault="00CB6F24" w:rsidP="00CB6F24">
      <w:pPr>
        <w:spacing w:before="103" w:line="256" w:lineRule="auto"/>
        <w:ind w:right="210" w:firstLineChars="200" w:firstLine="448"/>
        <w:rPr>
          <w:rFonts w:ascii="微软雅黑" w:eastAsia="微软雅黑" w:hAnsi="微软雅黑" w:cs="微软雅黑"/>
          <w:spacing w:val="7"/>
          <w:lang w:eastAsia="zh-CN"/>
        </w:rPr>
      </w:pPr>
      <w:r w:rsidRPr="00CB6F24">
        <w:rPr>
          <w:rFonts w:ascii="微软雅黑" w:eastAsia="微软雅黑" w:hAnsi="微软雅黑" w:cs="微软雅黑" w:hint="eastAsia"/>
          <w:spacing w:val="7"/>
          <w:lang w:eastAsia="zh-CN"/>
        </w:rPr>
        <w:t>长端美债收益率录得阶段新高，短线支撑美元走势。宏观数据方面，美国</w:t>
      </w:r>
      <w:r w:rsidRPr="00CB6F24">
        <w:rPr>
          <w:rFonts w:ascii="微软雅黑" w:eastAsia="微软雅黑" w:hAnsi="微软雅黑" w:cs="微软雅黑"/>
          <w:spacing w:val="7"/>
          <w:lang w:eastAsia="zh-CN"/>
        </w:rPr>
        <w:t>7</w:t>
      </w:r>
      <w:r w:rsidRPr="00CB6F24">
        <w:rPr>
          <w:rFonts w:ascii="微软雅黑" w:eastAsia="微软雅黑" w:hAnsi="微软雅黑" w:cs="微软雅黑" w:hint="eastAsia"/>
          <w:spacing w:val="7"/>
          <w:lang w:eastAsia="zh-CN"/>
        </w:rPr>
        <w:t>月非农就业新增意外转负，前两月数据同步录得大幅下修，失业率继续回落，但主因劳动参与率下滑，临时性裁员指标大幅跳升，预示失业率可能趋势性上行，叠加通胀降温，</w:t>
      </w:r>
      <w:r w:rsidRPr="00CB6F24">
        <w:rPr>
          <w:rFonts w:ascii="微软雅黑" w:eastAsia="微软雅黑" w:hAnsi="微软雅黑" w:cs="微软雅黑"/>
          <w:spacing w:val="7"/>
          <w:lang w:eastAsia="zh-CN"/>
        </w:rPr>
        <w:t>9</w:t>
      </w:r>
      <w:r w:rsidRPr="00CB6F24">
        <w:rPr>
          <w:rFonts w:ascii="微软雅黑" w:eastAsia="微软雅黑" w:hAnsi="微软雅黑" w:cs="微软雅黑" w:hint="eastAsia"/>
          <w:spacing w:val="7"/>
          <w:lang w:eastAsia="zh-CN"/>
        </w:rPr>
        <w:t>月加息概率降至</w:t>
      </w:r>
      <w:r w:rsidRPr="00CB6F24">
        <w:rPr>
          <w:rFonts w:ascii="微软雅黑" w:eastAsia="微软雅黑" w:hAnsi="微软雅黑" w:cs="微软雅黑"/>
          <w:spacing w:val="7"/>
          <w:lang w:eastAsia="zh-CN"/>
        </w:rPr>
        <w:t>40%</w:t>
      </w:r>
      <w:r w:rsidRPr="00CB6F24">
        <w:rPr>
          <w:rFonts w:ascii="微软雅黑" w:eastAsia="微软雅黑" w:hAnsi="微软雅黑" w:cs="微软雅黑" w:hint="eastAsia"/>
          <w:spacing w:val="7"/>
          <w:lang w:eastAsia="zh-CN"/>
        </w:rPr>
        <w:t>，但最终决策仍取决于后续通胀数据。美国</w:t>
      </w:r>
      <w:r w:rsidRPr="00CB6F24">
        <w:rPr>
          <w:rFonts w:ascii="微软雅黑" w:eastAsia="微软雅黑" w:hAnsi="微软雅黑" w:cs="微软雅黑"/>
          <w:spacing w:val="7"/>
          <w:lang w:eastAsia="zh-CN"/>
        </w:rPr>
        <w:t>7</w:t>
      </w:r>
      <w:r w:rsidRPr="00CB6F24">
        <w:rPr>
          <w:rFonts w:ascii="微软雅黑" w:eastAsia="微软雅黑" w:hAnsi="微软雅黑" w:cs="微软雅黑" w:hint="eastAsia"/>
          <w:spacing w:val="7"/>
          <w:lang w:eastAsia="zh-CN"/>
        </w:rPr>
        <w:t>月</w:t>
      </w:r>
      <w:r w:rsidRPr="00CB6F24">
        <w:rPr>
          <w:rFonts w:ascii="微软雅黑" w:eastAsia="微软雅黑" w:hAnsi="微软雅黑" w:cs="微软雅黑"/>
          <w:spacing w:val="7"/>
          <w:lang w:eastAsia="zh-CN"/>
        </w:rPr>
        <w:t>ISM</w:t>
      </w:r>
      <w:r w:rsidRPr="00CB6F24">
        <w:rPr>
          <w:rFonts w:ascii="微软雅黑" w:eastAsia="微软雅黑" w:hAnsi="微软雅黑" w:cs="微软雅黑" w:hint="eastAsia"/>
          <w:spacing w:val="7"/>
          <w:lang w:eastAsia="zh-CN"/>
        </w:rPr>
        <w:t>服务业</w:t>
      </w:r>
      <w:r w:rsidRPr="00CB6F24">
        <w:rPr>
          <w:rFonts w:ascii="微软雅黑" w:eastAsia="微软雅黑" w:hAnsi="微软雅黑" w:cs="微软雅黑"/>
          <w:spacing w:val="7"/>
          <w:lang w:eastAsia="zh-CN"/>
        </w:rPr>
        <w:t>PMI</w:t>
      </w:r>
      <w:r w:rsidRPr="00CB6F24">
        <w:rPr>
          <w:rFonts w:ascii="微软雅黑" w:eastAsia="微软雅黑" w:hAnsi="微软雅黑" w:cs="微软雅黑" w:hint="eastAsia"/>
          <w:spacing w:val="7"/>
          <w:lang w:eastAsia="zh-CN"/>
        </w:rPr>
        <w:t>不及市场预期，新订单、商业活动分项指标继续展现韧性，但支付价格指数超预期抬升，就业分项重新跌入收缩期间。前期</w:t>
      </w:r>
      <w:r w:rsidRPr="00CB6F24">
        <w:rPr>
          <w:rFonts w:ascii="微软雅黑" w:eastAsia="微软雅黑" w:hAnsi="微软雅黑" w:cs="微软雅黑"/>
          <w:spacing w:val="7"/>
          <w:lang w:eastAsia="zh-CN"/>
        </w:rPr>
        <w:t>FOMC</w:t>
      </w:r>
      <w:r w:rsidRPr="00CB6F24">
        <w:rPr>
          <w:rFonts w:ascii="微软雅黑" w:eastAsia="微软雅黑" w:hAnsi="微软雅黑" w:cs="微软雅黑" w:hint="eastAsia"/>
          <w:spacing w:val="7"/>
          <w:lang w:eastAsia="zh-CN"/>
        </w:rPr>
        <w:t>会议美联储延续鹰派观望姿态，美经济数据表现偏弱，日本央行政策干预加剧汇市波动，当前美伊谈判仍然难言乐观，地缘避险需求构成潜在支撑，美元短线或偏震荡运行。</w:t>
      </w:r>
    </w:p>
    <w:p w14:paraId="502379A4" w14:textId="2D11F3FC" w:rsidR="002760F0" w:rsidRPr="002760F0" w:rsidRDefault="00CB6F24" w:rsidP="00CB6F24">
      <w:pPr>
        <w:spacing w:before="103" w:line="256" w:lineRule="auto"/>
        <w:ind w:right="210" w:firstLineChars="200" w:firstLine="448"/>
        <w:rPr>
          <w:rFonts w:ascii="微软雅黑" w:eastAsia="微软雅黑" w:hAnsi="微软雅黑" w:cs="微软雅黑" w:hint="eastAsia"/>
          <w:spacing w:val="7"/>
          <w:lang w:eastAsia="zh-CN"/>
        </w:rPr>
      </w:pPr>
      <w:r w:rsidRPr="00CB6F24">
        <w:rPr>
          <w:rFonts w:ascii="微软雅黑" w:eastAsia="微软雅黑" w:hAnsi="微软雅黑" w:cs="微软雅黑" w:hint="eastAsia"/>
          <w:spacing w:val="7"/>
          <w:lang w:eastAsia="zh-CN"/>
        </w:rPr>
        <w:t>欧元区方面，德国</w:t>
      </w:r>
      <w:r w:rsidRPr="00CB6F24">
        <w:rPr>
          <w:rFonts w:ascii="微软雅黑" w:eastAsia="微软雅黑" w:hAnsi="微软雅黑" w:cs="微软雅黑"/>
          <w:spacing w:val="7"/>
          <w:lang w:eastAsia="zh-CN"/>
        </w:rPr>
        <w:t>6</w:t>
      </w:r>
      <w:r w:rsidRPr="00CB6F24">
        <w:rPr>
          <w:rFonts w:ascii="微软雅黑" w:eastAsia="微软雅黑" w:hAnsi="微软雅黑" w:cs="微软雅黑" w:hint="eastAsia"/>
          <w:spacing w:val="7"/>
          <w:lang w:eastAsia="zh-CN"/>
        </w:rPr>
        <w:t>月工厂订单指标强于市场预期，经济复苏动能有所回暖。近期能源价格回落边际缓解通胀担忧，市场目前定价欧央行年底展开一次加息。日本</w:t>
      </w:r>
      <w:r w:rsidRPr="00CB6F24">
        <w:rPr>
          <w:rFonts w:ascii="微软雅黑" w:eastAsia="微软雅黑" w:hAnsi="微软雅黑" w:cs="微软雅黑"/>
          <w:spacing w:val="7"/>
          <w:lang w:eastAsia="zh-CN"/>
        </w:rPr>
        <w:t>6</w:t>
      </w:r>
      <w:r w:rsidRPr="00CB6F24">
        <w:rPr>
          <w:rFonts w:ascii="微软雅黑" w:eastAsia="微软雅黑" w:hAnsi="微软雅黑" w:cs="微软雅黑" w:hint="eastAsia"/>
          <w:spacing w:val="7"/>
          <w:lang w:eastAsia="zh-CN"/>
        </w:rPr>
        <w:t>月实际工资同比上涨</w:t>
      </w:r>
      <w:r w:rsidRPr="00CB6F24">
        <w:rPr>
          <w:rFonts w:ascii="微软雅黑" w:eastAsia="微软雅黑" w:hAnsi="微软雅黑" w:cs="微软雅黑"/>
          <w:spacing w:val="7"/>
          <w:lang w:eastAsia="zh-CN"/>
        </w:rPr>
        <w:t>1.6%</w:t>
      </w:r>
      <w:r w:rsidRPr="00CB6F24">
        <w:rPr>
          <w:rFonts w:ascii="微软雅黑" w:eastAsia="微软雅黑" w:hAnsi="微软雅黑" w:cs="微软雅黑" w:hint="eastAsia"/>
          <w:spacing w:val="7"/>
          <w:lang w:eastAsia="zh-CN"/>
        </w:rPr>
        <w:t>，连续第六个月录得正增长，日本东京核心</w:t>
      </w:r>
      <w:r w:rsidRPr="00CB6F24">
        <w:rPr>
          <w:rFonts w:ascii="微软雅黑" w:eastAsia="微软雅黑" w:hAnsi="微软雅黑" w:cs="微软雅黑"/>
          <w:spacing w:val="7"/>
          <w:lang w:eastAsia="zh-CN"/>
        </w:rPr>
        <w:t>CPI</w:t>
      </w:r>
      <w:r w:rsidRPr="00CB6F24">
        <w:rPr>
          <w:rFonts w:ascii="微软雅黑" w:eastAsia="微软雅黑" w:hAnsi="微软雅黑" w:cs="微软雅黑" w:hint="eastAsia"/>
          <w:spacing w:val="7"/>
          <w:lang w:eastAsia="zh-CN"/>
        </w:rPr>
        <w:t>同比超出市场预期，通胀上行压力仍存。受地缘缓和及日央行政策干预影响，美元指数高位回落，非美货币近期上扬，后续走势仍取决于通胀实际传导以及利差表现</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313C8512" w:rsidR="007A477E" w:rsidRDefault="00CB6F24"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425543">
        <w:rPr>
          <w:rFonts w:ascii="黑体" w:eastAsia="黑体" w:hAnsi="黑体" w:cs="黑体"/>
          <w:noProof/>
          <w:color w:val="000000" w:themeColor="text1"/>
          <w:sz w:val="22"/>
          <w:szCs w:val="22"/>
          <w:shd w:val="clear" w:color="auto" w:fill="FFFFFF"/>
          <w:lang w:bidi="ar"/>
        </w:rPr>
        <w:lastRenderedPageBreak/>
        <w:drawing>
          <wp:inline distT="0" distB="0" distL="0" distR="0" wp14:anchorId="79C9D8A8" wp14:editId="4F898C0F">
            <wp:extent cx="4305300" cy="2276475"/>
            <wp:effectExtent l="0" t="0" r="0" b="9525"/>
            <wp:docPr id="1287578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5300" cy="2276475"/>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190C951C" w:rsidR="00ED4A18" w:rsidRDefault="00CB6F24" w:rsidP="00B00DB4">
      <w:pPr>
        <w:spacing w:before="103" w:line="256" w:lineRule="auto"/>
        <w:ind w:right="210" w:firstLine="448"/>
        <w:rPr>
          <w:rFonts w:ascii="微软雅黑" w:eastAsia="微软雅黑" w:hAnsi="微软雅黑" w:cs="微软雅黑" w:hint="eastAsia"/>
          <w:spacing w:val="7"/>
          <w:lang w:eastAsia="zh-CN"/>
        </w:rPr>
      </w:pPr>
      <w:r w:rsidRPr="00CB6F24">
        <w:rPr>
          <w:rFonts w:ascii="微软雅黑" w:eastAsia="微软雅黑" w:hAnsi="微软雅黑" w:cs="微软雅黑"/>
          <w:spacing w:val="7"/>
          <w:lang w:eastAsia="zh-CN"/>
        </w:rPr>
        <w:t>截至8月10日，标普500指数下跌0.06%至7753.02；迷你标普500主力合约持平于7777.25点。地缘局势上，特朗普称美国将要求伊朗就战争进行赔偿。美伊之间持续存在分歧，加剧谈判难度。美油重回80美元关口。货币政策上，FOMC2026年票委哈马克表示，可能需要“一定次数”的加息。在油价走高，美联储加息预期上升的影响下，10年期美债收益率突破4.7%。产业消息上，英伟达将与六家金融巨头建立战略合作伙伴关系，筹集5000亿美元资金用于人工智能基础设施建设。消息引发市场对AI产业循环融资的担忧。整体来看，美债收益率持续上行在估值端对美股形成压力，同时，对于AI领域融资不可持续的担忧也加剧市场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6C9DDB1B" w:rsidR="007A477E" w:rsidRPr="00EE7376" w:rsidRDefault="00CB6F24" w:rsidP="006B6996">
      <w:pPr>
        <w:spacing w:before="103" w:line="256" w:lineRule="auto"/>
        <w:ind w:right="210" w:firstLine="420"/>
        <w:jc w:val="center"/>
        <w:rPr>
          <w:rFonts w:ascii="微软雅黑" w:eastAsia="微软雅黑" w:hAnsi="微软雅黑" w:cs="微软雅黑" w:hint="eastAsia"/>
          <w:spacing w:val="7"/>
          <w:lang w:eastAsia="zh-CN"/>
        </w:rPr>
      </w:pPr>
      <w:r w:rsidRPr="00F36725">
        <w:rPr>
          <w:rFonts w:ascii="Helvetica" w:hAnsi="Helvetica" w:cs="Helvetica"/>
          <w:noProof/>
          <w:shd w:val="clear" w:color="auto" w:fill="FFFFFF"/>
        </w:rPr>
        <w:drawing>
          <wp:inline distT="0" distB="0" distL="0" distR="0" wp14:anchorId="7EEB8953" wp14:editId="03863D38">
            <wp:extent cx="5274310" cy="1592547"/>
            <wp:effectExtent l="0" t="0" r="2540" b="8255"/>
            <wp:docPr id="3" name="图片 3" descr="C:\Users\Administrator\xwechat_files\wxid_vkxlzo0vqu7s22_6f5b\temp\InputTemp\7f1fb8b2-c7f4-4458-8de6-6c4e370756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7f1fb8b2-c7f4-4458-8de6-6c4e3707564f.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92547"/>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2F94F8AF" w:rsidR="004F4EDC" w:rsidRDefault="00CB6F24" w:rsidP="000511AA">
      <w:pPr>
        <w:spacing w:before="103" w:line="256" w:lineRule="auto"/>
        <w:ind w:right="210" w:firstLine="448"/>
        <w:jc w:val="both"/>
        <w:rPr>
          <w:rFonts w:ascii="微软雅黑" w:eastAsia="微软雅黑" w:hAnsi="微软雅黑" w:cs="微软雅黑" w:hint="eastAsia"/>
          <w:spacing w:val="7"/>
          <w:lang w:eastAsia="zh-CN"/>
        </w:rPr>
      </w:pPr>
      <w:r w:rsidRPr="00CB6F24">
        <w:rPr>
          <w:rFonts w:ascii="微软雅黑" w:eastAsia="微软雅黑" w:hAnsi="微软雅黑" w:cs="微软雅黑"/>
          <w:spacing w:val="7"/>
          <w:lang w:eastAsia="zh-CN"/>
        </w:rPr>
        <w:t>截至8月10日，富时中国A50指数下跌0.05%至15073.19；新交所富时A50期指主力合约持平于15045。海外方面，地缘局势上，特朗普称美国将要求伊朗就战争进行赔偿。美伊之间持续存在分歧，加剧谈判难度。美油重回80美元关口。货币政策上，FOMC2026年票委哈马克表示，可能需要“一定次数”的加息。在油价走高，美联储加息预期上升的影响下，10年期美债收益率突破4.7%。国内方面，经济基本面，贸易端，7月份，我国进口、出口增速均小幅回落，但仍保持两位数增速，同时高新技术产品出口增速较6月进一步上升；物价端，受到油价传导滞后的影响，7月份国际油价上涨尚未对CPI、PPI增速</w:t>
      </w:r>
      <w:r w:rsidRPr="00CB6F24">
        <w:rPr>
          <w:rFonts w:ascii="微软雅黑" w:eastAsia="微软雅黑" w:hAnsi="微软雅黑" w:cs="微软雅黑"/>
          <w:spacing w:val="7"/>
          <w:lang w:eastAsia="zh-CN"/>
        </w:rPr>
        <w:lastRenderedPageBreak/>
        <w:t>产生影响，CPI、PPI同比均走弱。上市公司基本面，已披露半年报的少部分公司财报表现良好，中证500指数净利增速接近100%。整体来看，美伊冲突仍未解决，原油与美债收益率再度站上关键点位，对市场形成一定压力。但国内7月进出口数据依旧维持高增长，且高技术产品的出口依旧强劲。外需支撑经济基本面。同时，上市公司盈利目前呈现极高增速，但由于数量较少，且业绩好的公司通常率先披露，因此，半年报的整体情况仍有待观察</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5FF9B73D" w:rsidR="00A10388" w:rsidRDefault="00CB6F24" w:rsidP="00A10388">
      <w:pPr>
        <w:spacing w:before="120" w:line="190" w:lineRule="auto"/>
        <w:ind w:right="210" w:firstLine="420"/>
        <w:jc w:val="center"/>
        <w:rPr>
          <w:rFonts w:ascii="新宋体" w:eastAsia="新宋体" w:hAnsi="新宋体" w:hint="eastAsia"/>
          <w:lang w:eastAsia="zh-CN"/>
        </w:rPr>
      </w:pPr>
      <w:r w:rsidRPr="00F36725">
        <w:rPr>
          <w:rFonts w:ascii="宋体" w:eastAsia="宋体" w:hAnsi="宋体"/>
          <w:b/>
          <w:noProof/>
        </w:rPr>
        <w:drawing>
          <wp:inline distT="0" distB="0" distL="0" distR="0" wp14:anchorId="09F789A3" wp14:editId="0463CB98">
            <wp:extent cx="5274310" cy="1591276"/>
            <wp:effectExtent l="0" t="0" r="2540" b="9525"/>
            <wp:docPr id="59109715" name="图片 59109715" descr="C:\Users\Administrator\xwechat_files\wxid_vkxlzo0vqu7s22_6f5b\temp\InputTemp\b433798e-2563-4655-b8a8-11d7afc8cb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b433798e-2563-4655-b8a8-11d7afc8cba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1276"/>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031F06F0" w:rsidR="005B5E6A" w:rsidRDefault="00CB6F24" w:rsidP="00F51117">
      <w:pPr>
        <w:spacing w:before="103" w:line="256" w:lineRule="auto"/>
        <w:ind w:right="210" w:firstLine="448"/>
        <w:jc w:val="both"/>
        <w:rPr>
          <w:rFonts w:ascii="微软雅黑" w:eastAsia="微软雅黑" w:hAnsi="微软雅黑" w:cs="微软雅黑" w:hint="eastAsia"/>
          <w:spacing w:val="12"/>
          <w:lang w:eastAsia="zh-CN"/>
        </w:rPr>
      </w:pPr>
      <w:r w:rsidRPr="00CB6F24">
        <w:rPr>
          <w:rFonts w:ascii="微软雅黑" w:eastAsia="微软雅黑" w:hAnsi="微软雅黑" w:cs="微软雅黑"/>
          <w:spacing w:val="12"/>
          <w:lang w:eastAsia="zh-CN"/>
        </w:rPr>
        <w:t>隔夜COMEX铜震荡走势，报收6.6355元/磅，涨跌幅+0.68%。国际方面，美联储官员哈马克表示，可能需要“一定次数”的加息。不想预判加息次数及最终利率水平。当前利率并未对经济造成实质性限制。现在是美联储开始采取行动的时候。不认为通胀会自行回落，仍未看到就业市场存在问题。市场是美联储的补充，而非替代。国内方面，国家信息中心最新数据显示，7月份多领域先行指标平稳向好，经济稳中向优态势明显。数据显示，7月份各类消费支付金额同比增长2.2%，增速比上月提高0.8个百分点。先进制造领域资本投资金额同比增长73.1%，较6月提高42.5个百分点。人工智能相关专利授权量同比增长六成。库存方面，截至2026年8月10日，COMEX铜库存为725875短吨，环比+3036短吨；LME铜库存为218300吨，环比-4675吨；SHFE每日仓单23052吨，环比+75吨。美元美债方面，美元指数从两周低位反弹，最终收涨0.01%，报99.81；基准的10年期美债收益率收报4.7130%，对美联储政策利率敏感的2年期美债收益率收报4.2430%。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7241AA0E" w:rsidR="00A02266" w:rsidRDefault="00CB6F24" w:rsidP="006B6996">
      <w:pPr>
        <w:spacing w:before="103" w:line="256" w:lineRule="auto"/>
        <w:ind w:right="210" w:firstLine="420"/>
        <w:jc w:val="center"/>
      </w:pPr>
      <w:r>
        <w:rPr>
          <w:noProof/>
        </w:rPr>
        <w:lastRenderedPageBreak/>
        <w:drawing>
          <wp:inline distT="0" distB="0" distL="0" distR="0" wp14:anchorId="5C25BE37" wp14:editId="2EFF29CF">
            <wp:extent cx="5274310" cy="2854325"/>
            <wp:effectExtent l="0" t="0" r="2540" b="3175"/>
            <wp:docPr id="641402520" name="图片 64140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54325"/>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46F78659" w:rsidR="00F850DC" w:rsidRDefault="00CB6F24" w:rsidP="00B00DB4">
      <w:pPr>
        <w:spacing w:before="103" w:line="256" w:lineRule="auto"/>
        <w:ind w:right="210" w:firstLine="468"/>
        <w:jc w:val="both"/>
        <w:rPr>
          <w:rFonts w:ascii="微软雅黑" w:eastAsia="微软雅黑" w:hAnsi="微软雅黑" w:cs="微软雅黑" w:hint="eastAsia"/>
          <w:noProof/>
          <w:spacing w:val="7"/>
          <w:lang w:eastAsia="zh-CN"/>
        </w:rPr>
      </w:pPr>
      <w:r w:rsidRPr="00CB6F24">
        <w:rPr>
          <w:rFonts w:ascii="微软雅黑" w:eastAsia="微软雅黑" w:hAnsi="微软雅黑" w:cs="微软雅黑"/>
          <w:noProof/>
          <w:spacing w:val="7"/>
          <w:lang w:eastAsia="zh-CN"/>
        </w:rPr>
        <w:t>隔夜，海外贵金属市场延续偏强运行，COMEX黄金期货涨1.11%报4448.6美元/盎司，COMEX白银期货涨3.75%报65.88美元/盎司。宏观数据方面，美国7月非农就业新增意外转负，前两月数据同步录得大幅下修，叠加油价回落及通胀增速预期降温，9月加息概率降至40%。地缘方面，特朗普表示美方正参与相关谈判，但伊方对此给予否认态度，伊朗外长强调霍尔木兹海峡尚未重新开放。美联储7月FOMC会议基调中性偏鹰，沃什表示若条件适当将毫不犹豫加息，通胀实质性走软信号或成为美联储利率路径的核心指引。展望后市，美联储年内加息预期大幅回落，贵金属或延续震荡筑底格局，近期ETF持仓呈持续流入态势，部分多头资金回流贵金属市场，短线反弹动能有望延续。伴随美联储紧缩叙事趋于弱化，黄金避险溢价亦获得边际提振。尽管近期美方释放缓和信号，但伊朗方面维持强硬立场，特朗普政府的相关表态仍存在反复可能，霍尔木兹海峡的通行争端亦尚未根本性平息，观察后续航运实际恢复以及油价传导情况。操作上建议逢低轻仓布局多单，严格控制风险。本周伦敦金参考运行区间：4100-4500美元/盎司；伦敦银参考运行区间：60-70美元/盎司</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38BA76D2" w:rsidR="007A477E" w:rsidRDefault="00CB6F24"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425543">
        <w:rPr>
          <w:rFonts w:ascii="黑体" w:eastAsia="黑体" w:hAnsi="黑体"/>
          <w:b/>
          <w:bCs/>
          <w:noProof/>
          <w:sz w:val="22"/>
          <w:szCs w:val="22"/>
          <w:shd w:val="clear" w:color="auto" w:fill="FFFFFF"/>
          <w:lang w:bidi="ar"/>
        </w:rPr>
        <w:drawing>
          <wp:inline distT="0" distB="0" distL="0" distR="0" wp14:anchorId="646D33B9" wp14:editId="4C662D74">
            <wp:extent cx="4238625" cy="2303780"/>
            <wp:effectExtent l="0" t="0" r="9525" b="1270"/>
            <wp:docPr id="4959001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8625" cy="230378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lastRenderedPageBreak/>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14F6589D" w14:textId="77777777" w:rsidR="00CB6F24" w:rsidRPr="00CB6F24" w:rsidRDefault="00CB6F24" w:rsidP="00CB6F24">
      <w:pPr>
        <w:spacing w:before="103" w:line="256" w:lineRule="auto"/>
        <w:ind w:right="210" w:firstLine="448"/>
        <w:jc w:val="both"/>
        <w:rPr>
          <w:rFonts w:ascii="微软雅黑" w:eastAsia="微软雅黑" w:hAnsi="微软雅黑" w:cs="微软雅黑"/>
          <w:noProof/>
          <w:spacing w:val="7"/>
          <w:lang w:eastAsia="zh-CN"/>
        </w:rPr>
      </w:pPr>
      <w:r w:rsidRPr="00CB6F24">
        <w:rPr>
          <w:rFonts w:ascii="微软雅黑" w:eastAsia="微软雅黑" w:hAnsi="微软雅黑" w:cs="微软雅黑" w:hint="eastAsia"/>
          <w:noProof/>
          <w:spacing w:val="7"/>
          <w:lang w:eastAsia="zh-CN"/>
        </w:rPr>
        <w:t>本周美糖</w:t>
      </w:r>
      <w:r w:rsidRPr="00CB6F24">
        <w:rPr>
          <w:rFonts w:ascii="微软雅黑" w:eastAsia="微软雅黑" w:hAnsi="微软雅黑" w:cs="微软雅黑"/>
          <w:noProof/>
          <w:spacing w:val="7"/>
          <w:lang w:eastAsia="zh-CN"/>
        </w:rPr>
        <w:t>10</w:t>
      </w:r>
      <w:r w:rsidRPr="00CB6F24">
        <w:rPr>
          <w:rFonts w:ascii="微软雅黑" w:eastAsia="微软雅黑" w:hAnsi="微软雅黑" w:cs="微软雅黑" w:hint="eastAsia"/>
          <w:noProof/>
          <w:spacing w:val="7"/>
          <w:lang w:eastAsia="zh-CN"/>
        </w:rPr>
        <w:t>月合约期价强势上涨，周度涨幅约</w:t>
      </w:r>
      <w:r w:rsidRPr="00CB6F24">
        <w:rPr>
          <w:rFonts w:ascii="微软雅黑" w:eastAsia="微软雅黑" w:hAnsi="微软雅黑" w:cs="微软雅黑"/>
          <w:noProof/>
          <w:spacing w:val="7"/>
          <w:lang w:eastAsia="zh-CN"/>
        </w:rPr>
        <w:t>12.56%</w:t>
      </w:r>
      <w:r w:rsidRPr="00CB6F24">
        <w:rPr>
          <w:rFonts w:ascii="微软雅黑" w:eastAsia="微软雅黑" w:hAnsi="微软雅黑" w:cs="微软雅黑" w:hint="eastAsia"/>
          <w:noProof/>
          <w:spacing w:val="7"/>
          <w:lang w:eastAsia="zh-CN"/>
        </w:rPr>
        <w:t>，市场对欧盟及亚洲地区作物产量的担忧，进一步强化了关于全球食糖将在</w:t>
      </w:r>
      <w:r w:rsidRPr="00CB6F24">
        <w:rPr>
          <w:rFonts w:ascii="微软雅黑" w:eastAsia="微软雅黑" w:hAnsi="微软雅黑" w:cs="微软雅黑"/>
          <w:noProof/>
          <w:spacing w:val="7"/>
          <w:lang w:eastAsia="zh-CN"/>
        </w:rPr>
        <w:t>2026/27</w:t>
      </w:r>
      <w:r w:rsidRPr="00CB6F24">
        <w:rPr>
          <w:rFonts w:ascii="微软雅黑" w:eastAsia="微软雅黑" w:hAnsi="微软雅黑" w:cs="微软雅黑" w:hint="eastAsia"/>
          <w:noProof/>
          <w:spacing w:val="7"/>
          <w:lang w:eastAsia="zh-CN"/>
        </w:rPr>
        <w:t>年度转为短缺的预期。</w:t>
      </w:r>
    </w:p>
    <w:p w14:paraId="3F44DEBC" w14:textId="49B24132" w:rsidR="00C27A84" w:rsidRDefault="00CB6F24" w:rsidP="00CB6F24">
      <w:pPr>
        <w:spacing w:before="103" w:line="256" w:lineRule="auto"/>
        <w:ind w:right="210" w:firstLine="448"/>
        <w:jc w:val="both"/>
        <w:rPr>
          <w:rFonts w:ascii="微软雅黑" w:eastAsia="微软雅黑" w:hAnsi="微软雅黑" w:cs="微软雅黑" w:hint="eastAsia"/>
          <w:noProof/>
          <w:spacing w:val="7"/>
          <w:lang w:eastAsia="zh-CN"/>
        </w:rPr>
      </w:pPr>
      <w:r w:rsidRPr="00CB6F24">
        <w:rPr>
          <w:rFonts w:ascii="微软雅黑" w:eastAsia="微软雅黑" w:hAnsi="微软雅黑" w:cs="微软雅黑" w:hint="eastAsia"/>
          <w:noProof/>
          <w:spacing w:val="7"/>
          <w:lang w:eastAsia="zh-CN"/>
        </w:rPr>
        <w:t>国际方面，巴西对外贸易秘书处公布的出口数据显示，巴西</w:t>
      </w:r>
      <w:r w:rsidRPr="00CB6F24">
        <w:rPr>
          <w:rFonts w:ascii="微软雅黑" w:eastAsia="微软雅黑" w:hAnsi="微软雅黑" w:cs="微软雅黑"/>
          <w:noProof/>
          <w:spacing w:val="7"/>
          <w:lang w:eastAsia="zh-CN"/>
        </w:rPr>
        <w:t>7</w:t>
      </w:r>
      <w:r w:rsidRPr="00CB6F24">
        <w:rPr>
          <w:rFonts w:ascii="微软雅黑" w:eastAsia="微软雅黑" w:hAnsi="微软雅黑" w:cs="微软雅黑" w:hint="eastAsia"/>
          <w:noProof/>
          <w:spacing w:val="7"/>
          <w:lang w:eastAsia="zh-CN"/>
        </w:rPr>
        <w:t>月份出口食糖</w:t>
      </w:r>
      <w:r w:rsidRPr="00CB6F24">
        <w:rPr>
          <w:rFonts w:ascii="微软雅黑" w:eastAsia="微软雅黑" w:hAnsi="微软雅黑" w:cs="微软雅黑"/>
          <w:noProof/>
          <w:spacing w:val="7"/>
          <w:lang w:eastAsia="zh-CN"/>
        </w:rPr>
        <w:t>299.23</w:t>
      </w:r>
      <w:r w:rsidRPr="00CB6F24">
        <w:rPr>
          <w:rFonts w:ascii="微软雅黑" w:eastAsia="微软雅黑" w:hAnsi="微软雅黑" w:cs="微软雅黑" w:hint="eastAsia"/>
          <w:noProof/>
          <w:spacing w:val="7"/>
          <w:lang w:eastAsia="zh-CN"/>
        </w:rPr>
        <w:t>万吨，去年同期为</w:t>
      </w:r>
      <w:r w:rsidRPr="00CB6F24">
        <w:rPr>
          <w:rFonts w:ascii="微软雅黑" w:eastAsia="微软雅黑" w:hAnsi="微软雅黑" w:cs="微软雅黑"/>
          <w:noProof/>
          <w:spacing w:val="7"/>
          <w:lang w:eastAsia="zh-CN"/>
        </w:rPr>
        <w:t>358.92</w:t>
      </w:r>
      <w:r w:rsidRPr="00CB6F24">
        <w:rPr>
          <w:rFonts w:ascii="微软雅黑" w:eastAsia="微软雅黑" w:hAnsi="微软雅黑" w:cs="微软雅黑" w:hint="eastAsia"/>
          <w:noProof/>
          <w:spacing w:val="7"/>
          <w:lang w:eastAsia="zh-CN"/>
        </w:rPr>
        <w:t>万吨，同比减少</w:t>
      </w:r>
      <w:r w:rsidRPr="00CB6F24">
        <w:rPr>
          <w:rFonts w:ascii="微软雅黑" w:eastAsia="微软雅黑" w:hAnsi="微软雅黑" w:cs="微软雅黑"/>
          <w:noProof/>
          <w:spacing w:val="7"/>
          <w:lang w:eastAsia="zh-CN"/>
        </w:rPr>
        <w:t>17%</w:t>
      </w:r>
      <w:r w:rsidRPr="00CB6F24">
        <w:rPr>
          <w:rFonts w:ascii="微软雅黑" w:eastAsia="微软雅黑" w:hAnsi="微软雅黑" w:cs="微软雅黑" w:hint="eastAsia"/>
          <w:noProof/>
          <w:spacing w:val="7"/>
          <w:lang w:eastAsia="zh-CN"/>
        </w:rPr>
        <w:t>。日均出口量为</w:t>
      </w:r>
      <w:r w:rsidRPr="00CB6F24">
        <w:rPr>
          <w:rFonts w:ascii="微软雅黑" w:eastAsia="微软雅黑" w:hAnsi="微软雅黑" w:cs="微软雅黑"/>
          <w:noProof/>
          <w:spacing w:val="7"/>
          <w:lang w:eastAsia="zh-CN"/>
        </w:rPr>
        <w:t>13.0</w:t>
      </w:r>
      <w:r w:rsidRPr="00CB6F24">
        <w:rPr>
          <w:rFonts w:ascii="微软雅黑" w:eastAsia="微软雅黑" w:hAnsi="微软雅黑" w:cs="微软雅黑" w:hint="eastAsia"/>
          <w:noProof/>
          <w:spacing w:val="7"/>
          <w:lang w:eastAsia="zh-CN"/>
        </w:rPr>
        <w:t>万吨，</w:t>
      </w:r>
      <w:r w:rsidRPr="00CB6F24">
        <w:rPr>
          <w:rFonts w:ascii="微软雅黑" w:eastAsia="微软雅黑" w:hAnsi="微软雅黑" w:cs="微软雅黑"/>
          <w:noProof/>
          <w:spacing w:val="7"/>
          <w:lang w:eastAsia="zh-CN"/>
        </w:rPr>
        <w:t>7</w:t>
      </w:r>
      <w:r w:rsidRPr="00CB6F24">
        <w:rPr>
          <w:rFonts w:ascii="微软雅黑" w:eastAsia="微软雅黑" w:hAnsi="微软雅黑" w:cs="微软雅黑" w:hint="eastAsia"/>
          <w:noProof/>
          <w:spacing w:val="7"/>
          <w:lang w:eastAsia="zh-CN"/>
        </w:rPr>
        <w:t>月巴西糖出口减少，由于压榨量受限</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610D0F9" w:rsidR="007A477E" w:rsidRPr="00786136" w:rsidRDefault="00CB6F24" w:rsidP="007A477E">
      <w:pPr>
        <w:spacing w:before="103" w:line="256" w:lineRule="auto"/>
        <w:ind w:right="210" w:firstLine="420"/>
        <w:jc w:val="center"/>
        <w:rPr>
          <w:rFonts w:ascii="微软雅黑" w:eastAsia="微软雅黑" w:hAnsi="微软雅黑" w:cs="微软雅黑" w:hint="eastAsia"/>
          <w:spacing w:val="7"/>
          <w:lang w:eastAsia="zh-CN"/>
        </w:rPr>
      </w:pPr>
      <w:r>
        <w:rPr>
          <w:rFonts w:asciiTheme="minorHAnsi" w:eastAsiaTheme="minorEastAsia" w:hAnsiTheme="minorHAnsi" w:cstheme="minorBidi" w:hint="eastAsia"/>
          <w:noProof/>
        </w:rPr>
        <w:drawing>
          <wp:inline distT="0" distB="0" distL="114300" distR="114300" wp14:anchorId="2E2DC2D7" wp14:editId="2C98788A">
            <wp:extent cx="5259705" cy="2149475"/>
            <wp:effectExtent l="0" t="0" r="17145" b="3175"/>
            <wp:docPr id="1274319818" name="图片 1274319818" descr="QQ截图2026081008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260810083048"/>
                    <pic:cNvPicPr>
                      <a:picLocks noChangeAspect="1"/>
                    </pic:cNvPicPr>
                  </pic:nvPicPr>
                  <pic:blipFill>
                    <a:blip r:embed="rId19"/>
                    <a:stretch>
                      <a:fillRect/>
                    </a:stretch>
                  </pic:blipFill>
                  <pic:spPr>
                    <a:xfrm>
                      <a:off x="0" y="0"/>
                      <a:ext cx="5259705" cy="2149475"/>
                    </a:xfrm>
                    <a:prstGeom prst="rect">
                      <a:avLst/>
                    </a:prstGeom>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15D957BB" w14:textId="77777777" w:rsidR="00CB6F24" w:rsidRPr="00CB6F24" w:rsidRDefault="00CB6F24" w:rsidP="00CB6F24">
      <w:pPr>
        <w:spacing w:before="103" w:line="256" w:lineRule="auto"/>
        <w:ind w:right="210" w:firstLine="448"/>
        <w:jc w:val="both"/>
        <w:rPr>
          <w:rFonts w:ascii="微软雅黑" w:eastAsia="微软雅黑" w:hAnsi="微软雅黑" w:cs="微软雅黑"/>
          <w:noProof/>
          <w:spacing w:val="7"/>
          <w:lang w:eastAsia="zh-CN"/>
        </w:rPr>
      </w:pPr>
      <w:r w:rsidRPr="00CB6F24">
        <w:rPr>
          <w:rFonts w:ascii="微软雅黑" w:eastAsia="微软雅黑" w:hAnsi="微软雅黑" w:cs="微软雅黑" w:hint="eastAsia"/>
          <w:noProof/>
          <w:spacing w:val="7"/>
          <w:lang w:eastAsia="zh-CN"/>
        </w:rPr>
        <w:t>本周美棉</w:t>
      </w:r>
      <w:r w:rsidRPr="00CB6F24">
        <w:rPr>
          <w:rFonts w:ascii="微软雅黑" w:eastAsia="微软雅黑" w:hAnsi="微软雅黑" w:cs="微软雅黑"/>
          <w:noProof/>
          <w:spacing w:val="7"/>
          <w:lang w:eastAsia="zh-CN"/>
        </w:rPr>
        <w:t>12</w:t>
      </w:r>
      <w:r w:rsidRPr="00CB6F24">
        <w:rPr>
          <w:rFonts w:ascii="微软雅黑" w:eastAsia="微软雅黑" w:hAnsi="微软雅黑" w:cs="微软雅黑" w:hint="eastAsia"/>
          <w:noProof/>
          <w:spacing w:val="7"/>
          <w:lang w:eastAsia="zh-CN"/>
        </w:rPr>
        <w:t>月合约价格上涨，周度涨幅约</w:t>
      </w:r>
      <w:r w:rsidRPr="00CB6F24">
        <w:rPr>
          <w:rFonts w:ascii="微软雅黑" w:eastAsia="微软雅黑" w:hAnsi="微软雅黑" w:cs="微软雅黑"/>
          <w:noProof/>
          <w:spacing w:val="7"/>
          <w:lang w:eastAsia="zh-CN"/>
        </w:rPr>
        <w:t>3.34%</w:t>
      </w:r>
      <w:r w:rsidRPr="00CB6F24">
        <w:rPr>
          <w:rFonts w:ascii="微软雅黑" w:eastAsia="微软雅黑" w:hAnsi="微软雅黑" w:cs="微软雅黑" w:hint="eastAsia"/>
          <w:noProof/>
          <w:spacing w:val="7"/>
          <w:lang w:eastAsia="zh-CN"/>
        </w:rPr>
        <w:t>，受美元走软及主要棉花产区天气担忧支撑。</w:t>
      </w:r>
    </w:p>
    <w:p w14:paraId="0DE264A7" w14:textId="4E077035" w:rsidR="00ED4A18" w:rsidRDefault="00CB6F24" w:rsidP="00CB6F24">
      <w:pPr>
        <w:spacing w:before="103" w:line="256" w:lineRule="auto"/>
        <w:ind w:right="210" w:firstLine="448"/>
        <w:jc w:val="both"/>
        <w:rPr>
          <w:rFonts w:ascii="微软雅黑" w:eastAsia="微软雅黑" w:hAnsi="微软雅黑" w:cs="微软雅黑" w:hint="eastAsia"/>
          <w:noProof/>
          <w:spacing w:val="7"/>
          <w:lang w:eastAsia="zh-CN"/>
        </w:rPr>
      </w:pPr>
      <w:r w:rsidRPr="00CB6F24">
        <w:rPr>
          <w:rFonts w:ascii="微软雅黑" w:eastAsia="微软雅黑" w:hAnsi="微软雅黑" w:cs="微软雅黑" w:hint="eastAsia"/>
          <w:noProof/>
          <w:spacing w:val="7"/>
          <w:lang w:eastAsia="zh-CN"/>
        </w:rPr>
        <w:t>国际方面，据美国农业部</w:t>
      </w:r>
      <w:r w:rsidRPr="00CB6F24">
        <w:rPr>
          <w:rFonts w:ascii="微软雅黑" w:eastAsia="微软雅黑" w:hAnsi="微软雅黑" w:cs="微软雅黑"/>
          <w:noProof/>
          <w:spacing w:val="7"/>
          <w:lang w:eastAsia="zh-CN"/>
        </w:rPr>
        <w:t>(USDA)</w:t>
      </w:r>
      <w:r w:rsidRPr="00CB6F24">
        <w:rPr>
          <w:rFonts w:ascii="微软雅黑" w:eastAsia="微软雅黑" w:hAnsi="微软雅黑" w:cs="微软雅黑" w:hint="eastAsia"/>
          <w:noProof/>
          <w:spacing w:val="7"/>
          <w:lang w:eastAsia="zh-CN"/>
        </w:rPr>
        <w:t>报告显示，</w:t>
      </w:r>
      <w:r w:rsidRPr="00CB6F24">
        <w:rPr>
          <w:rFonts w:ascii="微软雅黑" w:eastAsia="微软雅黑" w:hAnsi="微软雅黑" w:cs="微软雅黑"/>
          <w:noProof/>
          <w:spacing w:val="7"/>
          <w:lang w:eastAsia="zh-CN"/>
        </w:rPr>
        <w:t>7</w:t>
      </w:r>
      <w:r w:rsidRPr="00CB6F24">
        <w:rPr>
          <w:rFonts w:ascii="微软雅黑" w:eastAsia="微软雅黑" w:hAnsi="微软雅黑" w:cs="微软雅黑" w:hint="eastAsia"/>
          <w:noProof/>
          <w:spacing w:val="7"/>
          <w:lang w:eastAsia="zh-CN"/>
        </w:rPr>
        <w:t>月</w:t>
      </w:r>
      <w:r w:rsidRPr="00CB6F24">
        <w:rPr>
          <w:rFonts w:ascii="微软雅黑" w:eastAsia="微软雅黑" w:hAnsi="微软雅黑" w:cs="微软雅黑"/>
          <w:noProof/>
          <w:spacing w:val="7"/>
          <w:lang w:eastAsia="zh-CN"/>
        </w:rPr>
        <w:t>30</w:t>
      </w:r>
      <w:r w:rsidRPr="00CB6F24">
        <w:rPr>
          <w:rFonts w:ascii="微软雅黑" w:eastAsia="微软雅黑" w:hAnsi="微软雅黑" w:cs="微软雅黑" w:hint="eastAsia"/>
          <w:noProof/>
          <w:spacing w:val="7"/>
          <w:lang w:eastAsia="zh-CN"/>
        </w:rPr>
        <w:t>日止当周，美国当前年度陆地棉出口销售净减</w:t>
      </w:r>
      <w:r w:rsidRPr="00CB6F24">
        <w:rPr>
          <w:rFonts w:ascii="微软雅黑" w:eastAsia="微软雅黑" w:hAnsi="微软雅黑" w:cs="微软雅黑"/>
          <w:noProof/>
          <w:spacing w:val="7"/>
          <w:lang w:eastAsia="zh-CN"/>
        </w:rPr>
        <w:t>5.58</w:t>
      </w:r>
      <w:r w:rsidRPr="00CB6F24">
        <w:rPr>
          <w:rFonts w:ascii="微软雅黑" w:eastAsia="微软雅黑" w:hAnsi="微软雅黑" w:cs="微软雅黑" w:hint="eastAsia"/>
          <w:noProof/>
          <w:spacing w:val="7"/>
          <w:lang w:eastAsia="zh-CN"/>
        </w:rPr>
        <w:t>万包，较前周减少</w:t>
      </w:r>
      <w:r w:rsidRPr="00CB6F24">
        <w:rPr>
          <w:rFonts w:ascii="微软雅黑" w:eastAsia="微软雅黑" w:hAnsi="微软雅黑" w:cs="微软雅黑"/>
          <w:noProof/>
          <w:spacing w:val="7"/>
          <w:lang w:eastAsia="zh-CN"/>
        </w:rPr>
        <w:t>288%</w:t>
      </w:r>
      <w:r w:rsidRPr="00CB6F24">
        <w:rPr>
          <w:rFonts w:ascii="微软雅黑" w:eastAsia="微软雅黑" w:hAnsi="微软雅黑" w:cs="微软雅黑" w:hint="eastAsia"/>
          <w:noProof/>
          <w:spacing w:val="7"/>
          <w:lang w:eastAsia="zh-CN"/>
        </w:rPr>
        <w:t>，较前四周均值减少</w:t>
      </w:r>
      <w:r w:rsidRPr="00CB6F24">
        <w:rPr>
          <w:rFonts w:ascii="微软雅黑" w:eastAsia="微软雅黑" w:hAnsi="微软雅黑" w:cs="微软雅黑"/>
          <w:noProof/>
          <w:spacing w:val="7"/>
          <w:lang w:eastAsia="zh-CN"/>
        </w:rPr>
        <w:t>223%</w:t>
      </w:r>
      <w:r w:rsidRPr="00CB6F24">
        <w:rPr>
          <w:rFonts w:ascii="微软雅黑" w:eastAsia="微软雅黑" w:hAnsi="微软雅黑" w:cs="微软雅黑" w:hint="eastAsia"/>
          <w:noProof/>
          <w:spacing w:val="7"/>
          <w:lang w:eastAsia="zh-CN"/>
        </w:rPr>
        <w:t>。美国下一年度市场陆地棉出口销售净增</w:t>
      </w:r>
      <w:r w:rsidRPr="00CB6F24">
        <w:rPr>
          <w:rFonts w:ascii="微软雅黑" w:eastAsia="微软雅黑" w:hAnsi="微软雅黑" w:cs="微软雅黑"/>
          <w:noProof/>
          <w:spacing w:val="7"/>
          <w:lang w:eastAsia="zh-CN"/>
        </w:rPr>
        <w:t>24.2</w:t>
      </w:r>
      <w:r w:rsidRPr="00CB6F24">
        <w:rPr>
          <w:rFonts w:ascii="微软雅黑" w:eastAsia="微软雅黑" w:hAnsi="微软雅黑" w:cs="微软雅黑" w:hint="eastAsia"/>
          <w:noProof/>
          <w:spacing w:val="7"/>
          <w:lang w:eastAsia="zh-CN"/>
        </w:rPr>
        <w:t>万包。当周美国陆地棉出口装运量</w:t>
      </w:r>
      <w:r w:rsidRPr="00CB6F24">
        <w:rPr>
          <w:rFonts w:ascii="微软雅黑" w:eastAsia="微软雅黑" w:hAnsi="微软雅黑" w:cs="微软雅黑"/>
          <w:noProof/>
          <w:spacing w:val="7"/>
          <w:lang w:eastAsia="zh-CN"/>
        </w:rPr>
        <w:t>22.28</w:t>
      </w:r>
      <w:r w:rsidRPr="00CB6F24">
        <w:rPr>
          <w:rFonts w:ascii="微软雅黑" w:eastAsia="微软雅黑" w:hAnsi="微软雅黑" w:cs="微软雅黑" w:hint="eastAsia"/>
          <w:noProof/>
          <w:spacing w:val="7"/>
          <w:lang w:eastAsia="zh-CN"/>
        </w:rPr>
        <w:t>万包，较前周减少</w:t>
      </w:r>
      <w:r w:rsidRPr="00CB6F24">
        <w:rPr>
          <w:rFonts w:ascii="微软雅黑" w:eastAsia="微软雅黑" w:hAnsi="微软雅黑" w:cs="微软雅黑"/>
          <w:noProof/>
          <w:spacing w:val="7"/>
          <w:lang w:eastAsia="zh-CN"/>
        </w:rPr>
        <w:t>5%</w:t>
      </w:r>
      <w:r w:rsidRPr="00CB6F24">
        <w:rPr>
          <w:rFonts w:ascii="微软雅黑" w:eastAsia="微软雅黑" w:hAnsi="微软雅黑" w:cs="微软雅黑" w:hint="eastAsia"/>
          <w:noProof/>
          <w:spacing w:val="7"/>
          <w:lang w:eastAsia="zh-CN"/>
        </w:rPr>
        <w:t>，较前四周平均水平减少</w:t>
      </w:r>
      <w:r w:rsidRPr="00CB6F24">
        <w:rPr>
          <w:rFonts w:ascii="微软雅黑" w:eastAsia="微软雅黑" w:hAnsi="微软雅黑" w:cs="微软雅黑"/>
          <w:noProof/>
          <w:spacing w:val="7"/>
          <w:lang w:eastAsia="zh-CN"/>
        </w:rPr>
        <w:t>7%</w:t>
      </w:r>
      <w:r w:rsidRPr="00CB6F24">
        <w:rPr>
          <w:rFonts w:ascii="微软雅黑" w:eastAsia="微软雅黑" w:hAnsi="微软雅黑" w:cs="微软雅黑" w:hint="eastAsia"/>
          <w:noProof/>
          <w:spacing w:val="7"/>
          <w:lang w:eastAsia="zh-CN"/>
        </w:rPr>
        <w:t>。当周美国下一年度棉花出口签约量表现相对较好</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5973B9D4" w:rsidR="00C24CC6" w:rsidRDefault="00CB6F24"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hint="eastAsia"/>
          <w:noProof/>
        </w:rPr>
        <w:drawing>
          <wp:inline distT="0" distB="0" distL="114300" distR="114300" wp14:anchorId="47ACD461" wp14:editId="4C5C6953">
            <wp:extent cx="5268595" cy="2146300"/>
            <wp:effectExtent l="0" t="0" r="8255" b="6350"/>
            <wp:docPr id="2" name="图片 2" descr="QQ截图2026081008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60810083119"/>
                    <pic:cNvPicPr>
                      <a:picLocks noChangeAspect="1"/>
                    </pic:cNvPicPr>
                  </pic:nvPicPr>
                  <pic:blipFill>
                    <a:blip r:embed="rId20"/>
                    <a:stretch>
                      <a:fillRect/>
                    </a:stretch>
                  </pic:blipFill>
                  <pic:spPr>
                    <a:xfrm>
                      <a:off x="0" y="0"/>
                      <a:ext cx="5268595" cy="2146300"/>
                    </a:xfrm>
                    <a:prstGeom prst="rect">
                      <a:avLst/>
                    </a:prstGeom>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lastRenderedPageBreak/>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8CFB7" w14:textId="77777777" w:rsidR="000306A0" w:rsidRDefault="000306A0">
      <w:pPr>
        <w:ind w:right="210" w:firstLine="420"/>
      </w:pPr>
      <w:r>
        <w:separator/>
      </w:r>
    </w:p>
  </w:endnote>
  <w:endnote w:type="continuationSeparator" w:id="0">
    <w:p w14:paraId="0B8FC9E3" w14:textId="77777777" w:rsidR="000306A0" w:rsidRDefault="000306A0">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7C831" w14:textId="77777777" w:rsidR="000306A0" w:rsidRDefault="000306A0">
      <w:pPr>
        <w:ind w:right="210" w:firstLine="420"/>
      </w:pPr>
      <w:r>
        <w:separator/>
      </w:r>
    </w:p>
  </w:footnote>
  <w:footnote w:type="continuationSeparator" w:id="0">
    <w:p w14:paraId="38751925" w14:textId="77777777" w:rsidR="000306A0" w:rsidRDefault="000306A0">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678</Words>
  <Characters>3870</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2026-08-11T01:46:00Z</dcterms:created>
  <dcterms:modified xsi:type="dcterms:W3CDTF">2026-08-11T01:46:00Z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