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16cei="http://schemas.microsoft.com/office/word/2026/wordml/cei">
            <w:pict>
              <v:rect w14:anchorId="41AAEDFC"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r>
        <w:rPr>
          <w:rFonts w:ascii="微软雅黑" w:eastAsia="微软雅黑" w:hAnsi="微软雅黑" w:cs="微软雅黑"/>
          <w:b/>
          <w:bCs/>
          <w:color w:val="FFFFFF"/>
          <w:spacing w:val="6"/>
          <w:sz w:val="96"/>
          <w:szCs w:val="96"/>
          <w:lang w:eastAsia="zh-CN"/>
        </w:rPr>
        <w:t>周度市场报告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4A8EF533"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F82B76">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EE0789">
        <w:rPr>
          <w:rFonts w:ascii="微软雅黑" w:eastAsia="微软雅黑" w:hAnsi="微软雅黑" w:cs="微软雅黑" w:hint="eastAsia"/>
          <w:b/>
          <w:bCs/>
          <w:color w:val="005D97"/>
          <w:spacing w:val="-22"/>
          <w:sz w:val="48"/>
          <w:szCs w:val="48"/>
          <w:lang w:eastAsia="zh-CN"/>
        </w:rPr>
        <w:t>24</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50F28471" w14:textId="18F3512F" w:rsidR="00176FC5" w:rsidRPr="00F55725" w:rsidRDefault="00176FC5" w:rsidP="009B3C7E">
      <w:pPr>
        <w:spacing w:before="102" w:line="257" w:lineRule="auto"/>
        <w:ind w:right="646" w:firstLineChars="200" w:firstLine="436"/>
        <w:rPr>
          <w:rFonts w:ascii="微软雅黑" w:eastAsia="微软雅黑" w:hAnsi="微软雅黑" w:cs="微软雅黑" w:hint="eastAsia"/>
          <w:spacing w:val="4"/>
          <w:lang w:eastAsia="zh-CN"/>
        </w:rPr>
      </w:pPr>
      <w:r w:rsidRPr="00176FC5">
        <w:rPr>
          <w:rFonts w:ascii="微软雅黑" w:eastAsia="微软雅黑" w:hAnsi="微软雅黑" w:cs="微软雅黑"/>
          <w:spacing w:val="4"/>
          <w:lang w:eastAsia="zh-CN"/>
        </w:rPr>
        <w:t>上周富时中国A50指数周</w:t>
      </w:r>
      <w:r w:rsidR="006D717D">
        <w:rPr>
          <w:rFonts w:ascii="微软雅黑" w:eastAsia="微软雅黑" w:hAnsi="微软雅黑" w:cs="微软雅黑" w:hint="eastAsia"/>
          <w:spacing w:val="4"/>
          <w:lang w:eastAsia="zh-CN"/>
        </w:rPr>
        <w:t>跌</w:t>
      </w:r>
      <w:r w:rsidR="00EE0789">
        <w:rPr>
          <w:rFonts w:ascii="微软雅黑" w:eastAsia="微软雅黑" w:hAnsi="微软雅黑" w:cs="微软雅黑" w:hint="eastAsia"/>
          <w:spacing w:val="4"/>
          <w:lang w:eastAsia="zh-CN"/>
        </w:rPr>
        <w:t>0.48</w:t>
      </w:r>
      <w:r w:rsidRPr="00176FC5">
        <w:rPr>
          <w:rFonts w:ascii="微软雅黑" w:eastAsia="微软雅黑" w:hAnsi="微软雅黑" w:cs="微软雅黑"/>
          <w:spacing w:val="4"/>
          <w:lang w:eastAsia="zh-CN"/>
        </w:rPr>
        <w:t>%，标准普尔500指数周</w:t>
      </w:r>
      <w:r w:rsidR="00EE0789">
        <w:rPr>
          <w:rFonts w:ascii="微软雅黑" w:eastAsia="微软雅黑" w:hAnsi="微软雅黑" w:cs="微软雅黑" w:hint="eastAsia"/>
          <w:spacing w:val="4"/>
          <w:lang w:eastAsia="zh-CN"/>
        </w:rPr>
        <w:t>跌1.43</w:t>
      </w:r>
      <w:r w:rsidRPr="00176FC5">
        <w:rPr>
          <w:rFonts w:ascii="微软雅黑" w:eastAsia="微软雅黑" w:hAnsi="微软雅黑" w:cs="微软雅黑"/>
          <w:spacing w:val="4"/>
          <w:lang w:eastAsia="zh-CN"/>
        </w:rPr>
        <w:t>%，离岸人民币周</w:t>
      </w:r>
      <w:r w:rsidR="00EE0789">
        <w:rPr>
          <w:rFonts w:ascii="微软雅黑" w:eastAsia="微软雅黑" w:hAnsi="微软雅黑" w:cs="微软雅黑" w:hint="eastAsia"/>
          <w:spacing w:val="4"/>
          <w:lang w:eastAsia="zh-CN"/>
        </w:rPr>
        <w:t>跌0.35</w:t>
      </w:r>
      <w:r w:rsidRPr="00176FC5">
        <w:rPr>
          <w:rFonts w:ascii="微软雅黑" w:eastAsia="微软雅黑" w:hAnsi="微软雅黑" w:cs="微软雅黑"/>
          <w:spacing w:val="4"/>
          <w:lang w:eastAsia="zh-CN"/>
        </w:rPr>
        <w:t>%。LME铜周涨</w:t>
      </w:r>
      <w:r w:rsidR="00EE0789">
        <w:rPr>
          <w:rFonts w:ascii="微软雅黑" w:eastAsia="微软雅黑" w:hAnsi="微软雅黑" w:cs="微软雅黑" w:hint="eastAsia"/>
          <w:spacing w:val="4"/>
          <w:lang w:eastAsia="zh-CN"/>
        </w:rPr>
        <w:t>0.18</w:t>
      </w:r>
      <w:r w:rsidRPr="00176FC5">
        <w:rPr>
          <w:rFonts w:ascii="微软雅黑" w:eastAsia="微软雅黑" w:hAnsi="微软雅黑" w:cs="微软雅黑"/>
          <w:spacing w:val="4"/>
          <w:lang w:eastAsia="zh-CN"/>
        </w:rPr>
        <w:t>%，COMEX黄金周涨</w:t>
      </w:r>
      <w:r w:rsidR="00EE0789">
        <w:rPr>
          <w:rFonts w:ascii="微软雅黑" w:eastAsia="微软雅黑" w:hAnsi="微软雅黑" w:cs="微软雅黑" w:hint="eastAsia"/>
          <w:spacing w:val="4"/>
          <w:lang w:eastAsia="zh-CN"/>
        </w:rPr>
        <w:t>5.05</w:t>
      </w:r>
      <w:r w:rsidRPr="00176FC5">
        <w:rPr>
          <w:rFonts w:ascii="微软雅黑" w:eastAsia="微软雅黑" w:hAnsi="微软雅黑" w:cs="微软雅黑"/>
          <w:spacing w:val="4"/>
          <w:lang w:eastAsia="zh-CN"/>
        </w:rPr>
        <w:t>%，COMEX白银周涨</w:t>
      </w:r>
      <w:r w:rsidR="00EE0789">
        <w:rPr>
          <w:rFonts w:ascii="微软雅黑" w:eastAsia="微软雅黑" w:hAnsi="微软雅黑" w:cs="微软雅黑" w:hint="eastAsia"/>
          <w:spacing w:val="4"/>
          <w:lang w:eastAsia="zh-CN"/>
        </w:rPr>
        <w:t>5.99</w:t>
      </w:r>
      <w:r w:rsidRPr="00176FC5">
        <w:rPr>
          <w:rFonts w:ascii="微软雅黑" w:eastAsia="微软雅黑" w:hAnsi="微软雅黑" w:cs="微软雅黑"/>
          <w:spacing w:val="4"/>
          <w:lang w:eastAsia="zh-CN"/>
        </w:rPr>
        <w:t>%。WTI原油周</w:t>
      </w:r>
      <w:r w:rsidR="006D717D">
        <w:rPr>
          <w:rFonts w:ascii="微软雅黑" w:eastAsia="微软雅黑" w:hAnsi="微软雅黑" w:cs="微软雅黑" w:hint="eastAsia"/>
          <w:spacing w:val="4"/>
          <w:lang w:eastAsia="zh-CN"/>
        </w:rPr>
        <w:t>涨5.</w:t>
      </w:r>
      <w:r w:rsidR="00EE0789">
        <w:rPr>
          <w:rFonts w:ascii="微软雅黑" w:eastAsia="微软雅黑" w:hAnsi="微软雅黑" w:cs="微软雅黑" w:hint="eastAsia"/>
          <w:spacing w:val="4"/>
          <w:lang w:eastAsia="zh-CN"/>
        </w:rPr>
        <w:t>15</w:t>
      </w:r>
      <w:r w:rsidRPr="00176FC5">
        <w:rPr>
          <w:rFonts w:ascii="微软雅黑" w:eastAsia="微软雅黑" w:hAnsi="微软雅黑" w:cs="微软雅黑"/>
          <w:spacing w:val="4"/>
          <w:lang w:eastAsia="zh-CN"/>
        </w:rPr>
        <w:t>%。ICE原糖期货主力合约周</w:t>
      </w:r>
      <w:r>
        <w:rPr>
          <w:rFonts w:ascii="微软雅黑" w:eastAsia="微软雅黑" w:hAnsi="微软雅黑" w:cs="微软雅黑" w:hint="eastAsia"/>
          <w:spacing w:val="4"/>
          <w:lang w:eastAsia="zh-CN"/>
        </w:rPr>
        <w:t>涨</w:t>
      </w:r>
      <w:r w:rsidR="00EE0789">
        <w:rPr>
          <w:rFonts w:ascii="微软雅黑" w:eastAsia="微软雅黑" w:hAnsi="微软雅黑" w:cs="微软雅黑" w:hint="eastAsia"/>
          <w:spacing w:val="4"/>
          <w:lang w:eastAsia="zh-CN"/>
        </w:rPr>
        <w:t>6.02</w:t>
      </w:r>
      <w:r w:rsidRPr="00176FC5">
        <w:rPr>
          <w:rFonts w:ascii="微软雅黑" w:eastAsia="微软雅黑" w:hAnsi="微软雅黑" w:cs="微软雅黑"/>
          <w:spacing w:val="4"/>
          <w:lang w:eastAsia="zh-CN"/>
        </w:rPr>
        <w:t>%，ICE棉主力合约周</w:t>
      </w:r>
      <w:r>
        <w:rPr>
          <w:rFonts w:ascii="微软雅黑" w:eastAsia="微软雅黑" w:hAnsi="微软雅黑" w:cs="微软雅黑" w:hint="eastAsia"/>
          <w:spacing w:val="4"/>
          <w:lang w:eastAsia="zh-CN"/>
        </w:rPr>
        <w:t>涨</w:t>
      </w:r>
      <w:r w:rsidR="00EE0789">
        <w:rPr>
          <w:rFonts w:ascii="微软雅黑" w:eastAsia="微软雅黑" w:hAnsi="微软雅黑" w:cs="微软雅黑" w:hint="eastAsia"/>
          <w:spacing w:val="4"/>
          <w:lang w:eastAsia="zh-CN"/>
        </w:rPr>
        <w:t>4.10</w:t>
      </w:r>
      <w:r w:rsidRPr="00176FC5">
        <w:rPr>
          <w:rFonts w:ascii="微软雅黑" w:eastAsia="微软雅黑" w:hAnsi="微软雅黑" w:cs="微软雅黑"/>
          <w:spacing w:val="4"/>
          <w:lang w:eastAsia="zh-CN"/>
        </w:rPr>
        <w:t>%，MB铁矿石周</w:t>
      </w:r>
      <w:r w:rsidR="006D717D">
        <w:rPr>
          <w:rFonts w:ascii="微软雅黑" w:eastAsia="微软雅黑" w:hAnsi="微软雅黑" w:cs="微软雅黑" w:hint="eastAsia"/>
          <w:spacing w:val="4"/>
          <w:lang w:eastAsia="zh-CN"/>
        </w:rPr>
        <w:t>涨</w:t>
      </w:r>
      <w:r w:rsidR="00EE0789">
        <w:rPr>
          <w:rFonts w:ascii="微软雅黑" w:eastAsia="微软雅黑" w:hAnsi="微软雅黑" w:cs="微软雅黑" w:hint="eastAsia"/>
          <w:spacing w:val="4"/>
          <w:lang w:eastAsia="zh-CN"/>
        </w:rPr>
        <w:t>0.09</w:t>
      </w:r>
      <w:r w:rsidRPr="00176FC5">
        <w:rPr>
          <w:rFonts w:ascii="微软雅黑" w:eastAsia="微软雅黑" w:hAnsi="微软雅黑" w:cs="微软雅黑"/>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7871336C" w:rsidR="00993B64" w:rsidRPr="00184E17" w:rsidRDefault="00EE0789"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Pr>
          <w:rFonts w:ascii="Times New Roman" w:eastAsia="Times New Roman" w:hAnsi="Times New Roman" w:cs="Times New Roman"/>
          <w:noProof/>
          <w:snapToGrid/>
          <w:color w:val="auto"/>
          <w:sz w:val="24"/>
          <w:szCs w:val="24"/>
          <w:lang w:val="en-CA" w:eastAsia="zh-CN"/>
        </w:rPr>
        <w:drawing>
          <wp:inline distT="0" distB="0" distL="0" distR="0" wp14:anchorId="5FA3422A" wp14:editId="514E48DC">
            <wp:extent cx="6344484" cy="3952120"/>
            <wp:effectExtent l="0" t="0" r="0" b="0"/>
            <wp:docPr id="148462104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3901" cy="3957986"/>
                    </a:xfrm>
                    <a:prstGeom prst="rect">
                      <a:avLst/>
                    </a:prstGeom>
                    <a:noFill/>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r w:rsidRPr="00FC40D2">
        <w:rPr>
          <w:rFonts w:ascii="微软雅黑" w:eastAsia="微软雅黑" w:hAnsi="微软雅黑" w:cs="微软雅黑"/>
          <w:b/>
          <w:bCs/>
          <w:color w:val="036EB8"/>
          <w:spacing w:val="10"/>
          <w:sz w:val="28"/>
          <w:szCs w:val="28"/>
          <w:lang w:eastAsia="zh-CN"/>
        </w:rPr>
        <w:t>周度事件汇总</w:t>
      </w:r>
    </w:p>
    <w:p w14:paraId="7830E7FE" w14:textId="28B68EB5" w:rsidR="003E0237" w:rsidRPr="00EE0789" w:rsidRDefault="003E0237" w:rsidP="001348E6">
      <w:pPr>
        <w:pStyle w:val="a9"/>
        <w:rPr>
          <w:rFonts w:ascii="微软雅黑" w:eastAsia="微软雅黑" w:hAnsi="微软雅黑" w:cs="微软雅黑" w:hint="eastAsia"/>
          <w:lang w:eastAsia="zh-CN"/>
        </w:rPr>
      </w:pPr>
      <w:r>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伊朗总统佩泽希齐扬表示，伊朗最高国家安全委员会成员均认为，此前与美国达成的谅解备忘录是基于尊严、智慧及国家利益所能达成的最佳方案。这份备忘录中“找不到任何一项条款表明伊朗投降或作出退让”，相关承诺均由对方承担。但伊朗也应以理性方式，使国家摆脱眼下这种“既非战争、也非和平”的状态，在战争或“非战非和”的状态下，伊朗难以吸引投资。</w:t>
      </w:r>
      <w:r w:rsidRPr="00EE0789">
        <w:rPr>
          <w:rFonts w:ascii="微软雅黑" w:eastAsia="微软雅黑" w:hAnsi="微软雅黑" w:cs="微软雅黑" w:hint="eastAsia"/>
          <w:lang w:eastAsia="zh-CN"/>
        </w:rPr>
        <w:t>】</w:t>
      </w:r>
    </w:p>
    <w:p w14:paraId="081BFCCC" w14:textId="7F7440D8" w:rsidR="00054D5B" w:rsidRPr="00EE0789" w:rsidRDefault="00054D5B" w:rsidP="00054D5B">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伊朗外长阿拉格齐表示，伊朗从未害怕过美国制裁，他们所有举动，无论是封锁还是军事行动，都失败了，这次的新伎俩也必将失败。特朗普声称的“经济行动”，不过是美国政策一贯的欺凌手段。伊朗伊斯兰革命卫队发言人穆赫比表示，伊朗针对美国各种敌对行动均已制定应对方案，包括应对经济施压。</w:t>
      </w:r>
      <w:r w:rsidRPr="00EE0789">
        <w:rPr>
          <w:rFonts w:ascii="微软雅黑" w:eastAsia="微软雅黑" w:hAnsi="微软雅黑" w:cs="微软雅黑" w:hint="eastAsia"/>
          <w:lang w:eastAsia="zh-CN"/>
        </w:rPr>
        <w:t>】</w:t>
      </w:r>
    </w:p>
    <w:p w14:paraId="34BDC094" w14:textId="0A967B93" w:rsidR="00054D5B" w:rsidRPr="00EE0789" w:rsidRDefault="00054D5B" w:rsidP="00054D5B">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伊朗议会国家安全与外交政策委员会发言人哈桑·卡什卡维宣布，委员会通过《确保霍尔木兹海峡安全与发展的战略行动计划》第三条。根据这一条款，伊朗将对提供的海事服务、环境服务、特殊情况下的燃料供应、保险、安全以及其他服务收取费用。</w:t>
      </w:r>
      <w:r w:rsidRPr="00EE0789">
        <w:rPr>
          <w:rFonts w:ascii="微软雅黑" w:eastAsia="微软雅黑" w:hAnsi="微软雅黑" w:cs="微软雅黑" w:hint="eastAsia"/>
          <w:lang w:eastAsia="zh-CN"/>
        </w:rPr>
        <w:t>】</w:t>
      </w:r>
    </w:p>
    <w:p w14:paraId="0FC8095D" w14:textId="047F6526" w:rsidR="00054D5B" w:rsidRPr="00EE0789" w:rsidRDefault="00054D5B" w:rsidP="00EE0789">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lastRenderedPageBreak/>
        <w:t>【</w:t>
      </w:r>
      <w:r w:rsidR="00EE0789" w:rsidRPr="00EE0789">
        <w:rPr>
          <w:rFonts w:ascii="微软雅黑" w:eastAsia="微软雅黑" w:hAnsi="微软雅黑" w:cs="微软雅黑"/>
          <w:lang w:eastAsia="zh-CN"/>
        </w:rPr>
        <w:t>伊朗最高国家安全委员会秘书雷扎伊表示，如果美国对伊朗继续发动经济战，将没有石油会通过霍尔木兹海峡乃至波斯湾地区。伊朗将任何国家参与或支持美国对伊朗人民发动的经济战视为战争行为。美国总统特朗普此前宣布 对伊朗采取“针对任何国家实施过的最严厉经济行动”，称这将是一场规模空前的“经济战和经济孤立”。</w:t>
      </w:r>
      <w:r w:rsidRPr="00EE0789">
        <w:rPr>
          <w:rFonts w:ascii="微软雅黑" w:eastAsia="微软雅黑" w:hAnsi="微软雅黑" w:cs="微软雅黑" w:hint="eastAsia"/>
          <w:lang w:eastAsia="zh-CN"/>
        </w:rPr>
        <w:t>】</w:t>
      </w:r>
    </w:p>
    <w:p w14:paraId="725E18F3" w14:textId="001178F8" w:rsidR="004F1D52" w:rsidRPr="00EE0789" w:rsidRDefault="004F1D52" w:rsidP="001348E6">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由于与伊朗谈判停滞，美国总统特朗普宣布对伊朗实施“毁灭性经济行动”。特朗普宣称，对伊朗实施最严厉经济行动，这将是一场前所未有的经济战和孤立行动。任何允许其金融机构、企业、机场或政府实体向伊朗提供支持的国家，都将面临“巨大的经济后果”。伊朗外长阿拉格齐对此表示，美国此举意在转移国内对财政问题的关注，包括高额债务和利息支出上升等。</w:t>
      </w:r>
      <w:r w:rsidRPr="00EE0789">
        <w:rPr>
          <w:rFonts w:ascii="微软雅黑" w:eastAsia="微软雅黑" w:hAnsi="微软雅黑" w:cs="微软雅黑" w:hint="eastAsia"/>
          <w:lang w:eastAsia="zh-CN"/>
        </w:rPr>
        <w:t>】</w:t>
      </w:r>
    </w:p>
    <w:p w14:paraId="6B91A75A" w14:textId="59D1DA56" w:rsidR="00825919" w:rsidRPr="00EE0789" w:rsidRDefault="00825919" w:rsidP="001348E6">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美国总统特朗普8月19日表示，可能在“某个时候”恢复与伊朗谈判，但伊朗必须彻底放弃核武器。特朗普18日曾在社交媒体上称，目前和未来不会与伊朗进行任何会谈或对话。伊朗议会国家安全与外交政策委员会委员雷扎伊表示，若伊朗在世界任何地方的利益受到损害，伊朗将通过提高关税或没收资产等方式，在霍尔木兹海峡对敌对国家和政府进行反制。</w:t>
      </w:r>
      <w:r w:rsidRPr="00EE0789">
        <w:rPr>
          <w:rFonts w:ascii="微软雅黑" w:eastAsia="微软雅黑" w:hAnsi="微软雅黑" w:cs="微软雅黑" w:hint="eastAsia"/>
          <w:lang w:eastAsia="zh-CN"/>
        </w:rPr>
        <w:t>】</w:t>
      </w:r>
    </w:p>
    <w:p w14:paraId="2AB7AC2E" w14:textId="461D7E4D" w:rsidR="004E3CEF" w:rsidRPr="00EE0789" w:rsidRDefault="004E3CEF" w:rsidP="001348E6">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美国总统特朗普表示，目前并未与伊朗进行任何会谈或对话，未来也无相关计划。美国对伊朗海上封锁措施继续全面有效执行。伊朗议会议长卡利巴夫表示，在美国解除对伊朗财产冻结、解除石油制裁、停止所有战线的军事威胁与行动以及满足谅解备忘录的其他条件之前，霍尔木兹海峡不会开放。</w:t>
      </w:r>
      <w:r w:rsidRPr="00EE0789">
        <w:rPr>
          <w:rFonts w:ascii="微软雅黑" w:eastAsia="微软雅黑" w:hAnsi="微软雅黑" w:cs="微软雅黑" w:hint="eastAsia"/>
          <w:lang w:eastAsia="zh-CN"/>
        </w:rPr>
        <w:t>】</w:t>
      </w:r>
    </w:p>
    <w:p w14:paraId="57FAC510" w14:textId="06495C8C" w:rsidR="00825919" w:rsidRPr="00EE0789" w:rsidRDefault="00825919" w:rsidP="001348E6">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美国总统特朗普就美债市场、伊朗局势以及北美贸易谈判等多个议题发表讲话。谈及近期美国财政部扩大长期美债回购操作，特朗普表示，自己没有指示财政部长贝森特干预美国债券市场，美国经济增长将自行化解国债问题。在伊朗问题上，特朗普称，美国“已经彻底控制整个地区”，伊朗“可能”与美国达成协议，但目前还没有准备好达成协议。谈及美加墨贸易协议时，特朗普表示，美国“理应能够与加拿大达成协议”，目前进展顺利，美国已与墨西哥启动一份新的协议。</w:t>
      </w:r>
      <w:r w:rsidRPr="00EE0789">
        <w:rPr>
          <w:rFonts w:ascii="微软雅黑" w:eastAsia="微软雅黑" w:hAnsi="微软雅黑" w:cs="微软雅黑" w:hint="eastAsia"/>
          <w:lang w:eastAsia="zh-CN"/>
        </w:rPr>
        <w:t>】</w:t>
      </w:r>
    </w:p>
    <w:p w14:paraId="2D8E43E1" w14:textId="07F1285A" w:rsidR="00D450EA" w:rsidRPr="00EE0789" w:rsidRDefault="00D450EA" w:rsidP="001348E6">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桥水基金创始人达利欧发文指出，美国今年收支缺口高达2万亿美元，且还有约10万亿美元债务亟待再融资，若不改变现有轨道，债务危机"在三年内，上下误差两年"便可能到来。他建议投资者减持债券，将黄金配置提升至组合的10%至15%，并持有少量比特币对冲风险。</w:t>
      </w:r>
      <w:r w:rsidRPr="00EE0789">
        <w:rPr>
          <w:rFonts w:ascii="微软雅黑" w:eastAsia="微软雅黑" w:hAnsi="微软雅黑" w:cs="微软雅黑" w:hint="eastAsia"/>
          <w:lang w:eastAsia="zh-CN"/>
        </w:rPr>
        <w:t>】</w:t>
      </w:r>
    </w:p>
    <w:p w14:paraId="75FB3CBE" w14:textId="3C6973E7" w:rsidR="00054D5B" w:rsidRPr="00EE0789" w:rsidRDefault="00054D5B" w:rsidP="00054D5B">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美国总统特朗普表示，美国将在未来90天内允许免关税进口最多30万吨碎牛肉，以降低国内消费价格。目前，物价上涨是特朗普政府在中期选举前应对的一个关键问题。</w:t>
      </w:r>
      <w:r w:rsidRPr="00EE0789">
        <w:rPr>
          <w:rFonts w:ascii="微软雅黑" w:eastAsia="微软雅黑" w:hAnsi="微软雅黑" w:cs="微软雅黑" w:hint="eastAsia"/>
          <w:lang w:eastAsia="zh-CN"/>
        </w:rPr>
        <w:t>】</w:t>
      </w:r>
    </w:p>
    <w:p w14:paraId="24449455" w14:textId="5682C8FD" w:rsidR="00054D5B" w:rsidRPr="00EE0789" w:rsidRDefault="00054D5B" w:rsidP="00054D5B">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美国财政部长贝森特密集释放政策信号，覆盖从近期市场热点美国债市到伊朗问题。在美国长期国债收益率重新走高之际，贝森特表示，财政部单次长债回购规模可能超过40亿美元，并强调财政部拥有强大的工具箱。在伊朗问题上，贝森特透露，将于8月24日举行新闻发布会，具体阐述美国针对伊朗的行动计划。美国将对伊朗实施“史上最严厉”的制裁，若施加最大经济压力，不太可能需要重启大规模军事行动。贝森特重申强势美元政策，称美元正重返两个月前水平。</w:t>
      </w:r>
      <w:r w:rsidRPr="00EE0789">
        <w:rPr>
          <w:rFonts w:ascii="微软雅黑" w:eastAsia="微软雅黑" w:hAnsi="微软雅黑" w:cs="微软雅黑" w:hint="eastAsia"/>
          <w:lang w:eastAsia="zh-CN"/>
        </w:rPr>
        <w:t>】</w:t>
      </w:r>
    </w:p>
    <w:p w14:paraId="6C76352C" w14:textId="134A3C15" w:rsidR="00021A7C" w:rsidRPr="00EE0789" w:rsidRDefault="00021A7C" w:rsidP="000570BD">
      <w:pPr>
        <w:pStyle w:val="a9"/>
        <w:rPr>
          <w:rFonts w:ascii="微软雅黑" w:eastAsia="微软雅黑" w:hAnsi="微软雅黑" w:cs="微软雅黑"/>
          <w:lang w:eastAsia="zh-CN"/>
        </w:rPr>
      </w:pPr>
      <w:r w:rsidRPr="00EE0789">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美国政府借款以历史罕见的速度增加，尽管特朗普承诺控制政府支出，但不断膨胀的债务仍引发投资者对美国公共财政状况的担忧。美国财政部8月19日发布数据显示，美国联邦政府债务总额已突破40万亿美元。过去一年中，其债务增加3万亿美元，若不计疫情时期，这是历史上最快的增长速度。</w:t>
      </w:r>
      <w:r w:rsidRPr="00EE0789">
        <w:rPr>
          <w:rFonts w:ascii="微软雅黑" w:eastAsia="微软雅黑" w:hAnsi="微软雅黑" w:cs="微软雅黑" w:hint="eastAsia"/>
          <w:lang w:eastAsia="zh-CN"/>
        </w:rPr>
        <w:t>】</w:t>
      </w:r>
    </w:p>
    <w:p w14:paraId="103F4F6C" w14:textId="618D920A" w:rsidR="00EE0789" w:rsidRPr="00EE0789" w:rsidRDefault="00EE0789" w:rsidP="00EE0789">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Pr="00EE0789">
        <w:rPr>
          <w:rFonts w:ascii="微软雅黑" w:eastAsia="微软雅黑" w:hAnsi="微软雅黑" w:cs="微软雅黑"/>
          <w:lang w:eastAsia="zh-CN"/>
        </w:rPr>
        <w:t>美联储7月会议纪要显示，许多与会者评估，若通胀未能回落，则可能需要进一步加息。部分官员称立即加息有助于避免后续更大幅度的加息。部分与会者表示，当前金融环境紧缩力度或许不足以将通胀拉回2%目标。美联储还探讨过将年度政策会议缩减至6场，以便有更多时间积累经济数据，但并未作出决议。</w:t>
      </w:r>
      <w:r w:rsidRPr="00EE0789">
        <w:rPr>
          <w:rFonts w:ascii="微软雅黑" w:eastAsia="微软雅黑" w:hAnsi="微软雅黑" w:cs="微软雅黑" w:hint="eastAsia"/>
          <w:lang w:eastAsia="zh-CN"/>
        </w:rPr>
        <w:t>】</w:t>
      </w:r>
    </w:p>
    <w:p w14:paraId="22C3E94F" w14:textId="77777777" w:rsidR="00EE0789" w:rsidRPr="00EE0789" w:rsidRDefault="00EE0789" w:rsidP="00EE0789">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Pr="00EE0789">
        <w:rPr>
          <w:rFonts w:ascii="微软雅黑" w:eastAsia="微软雅黑" w:hAnsi="微软雅黑" w:cs="微软雅黑"/>
          <w:lang w:eastAsia="zh-CN"/>
        </w:rPr>
        <w:t>美国8月标普全球制造业PMI初值由53.9降至53.2，但服务业PMI从54.6升至56.8，为2024年12月以来最高，并推动综合PMI产出指数升至56，较7月的54.5明显上升，创2022年4月以来最高。</w:t>
      </w:r>
      <w:r w:rsidRPr="00EE0789">
        <w:rPr>
          <w:rFonts w:ascii="微软雅黑" w:eastAsia="微软雅黑" w:hAnsi="微软雅黑" w:cs="微软雅黑" w:hint="eastAsia"/>
          <w:lang w:eastAsia="zh-CN"/>
        </w:rPr>
        <w:t>】</w:t>
      </w:r>
    </w:p>
    <w:p w14:paraId="65810C5B" w14:textId="28CD1E0F" w:rsidR="00EE0789" w:rsidRPr="00EE0789" w:rsidRDefault="00EE0789" w:rsidP="00EE0789">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Pr="00EE0789">
        <w:rPr>
          <w:rFonts w:ascii="微软雅黑" w:eastAsia="微软雅黑" w:hAnsi="微软雅黑" w:cs="微软雅黑"/>
          <w:lang w:eastAsia="zh-CN"/>
        </w:rPr>
        <w:t>美国上周初请失业金人数减少6000人至20.6万人，低于经济学家预期的21万人。前一周续请失业金人数升至179.9万人，高于市场预期的179万。</w:t>
      </w:r>
      <w:r w:rsidRPr="00EE0789">
        <w:rPr>
          <w:rFonts w:ascii="微软雅黑" w:eastAsia="微软雅黑" w:hAnsi="微软雅黑" w:cs="微软雅黑" w:hint="eastAsia"/>
          <w:lang w:eastAsia="zh-CN"/>
        </w:rPr>
        <w:t>】</w:t>
      </w:r>
    </w:p>
    <w:p w14:paraId="4EE5365B" w14:textId="5C793FE8" w:rsidR="004F1D52" w:rsidRPr="00EE0789" w:rsidRDefault="004F1D52" w:rsidP="005025C0">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lastRenderedPageBreak/>
        <w:t>【</w:t>
      </w:r>
      <w:r w:rsidR="00EE0789" w:rsidRPr="00EE0789">
        <w:rPr>
          <w:rFonts w:ascii="微软雅黑" w:eastAsia="微软雅黑" w:hAnsi="微软雅黑" w:cs="微软雅黑"/>
          <w:lang w:eastAsia="zh-CN"/>
        </w:rPr>
        <w:t>欧元区8月标普全球制造业PMI初值升至52.8，创2022年5月以来新高；服务业PMI持平于51.7；综合PMI初值升至52.1，创9个月新高。德国制造业扩张进一步加快，法国制造业重回扩张区间，但服务业均意外进一步萎缩。</w:t>
      </w:r>
      <w:r w:rsidRPr="00EE0789">
        <w:rPr>
          <w:rFonts w:ascii="微软雅黑" w:eastAsia="微软雅黑" w:hAnsi="微软雅黑" w:cs="微软雅黑" w:hint="eastAsia"/>
          <w:lang w:eastAsia="zh-CN"/>
        </w:rPr>
        <w:t>】</w:t>
      </w:r>
    </w:p>
    <w:p w14:paraId="16338E4B" w14:textId="4352CBFA" w:rsidR="00054D5B" w:rsidRPr="00021A7C" w:rsidRDefault="00054D5B" w:rsidP="00054D5B">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00EE0789" w:rsidRPr="00EE0789">
        <w:rPr>
          <w:rFonts w:ascii="微软雅黑" w:eastAsia="微软雅黑" w:hAnsi="微软雅黑" w:cs="微软雅黑"/>
          <w:lang w:eastAsia="zh-CN"/>
        </w:rPr>
        <w:t>日本总务省公布数据显示，日本7月核心CPI同比上涨1.8%，较6月的1.6%涨幅进一步扩大，已连续59个月同比上涨。能源价格由6月同比下降0.4%转为7月上涨0.6%，是核心CPI涨幅扩大的主要原因。</w:t>
      </w:r>
      <w:r w:rsidRPr="00021A7C">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 xml:space="preserve">品种观点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575E2C87" w:rsidR="00B86245" w:rsidRPr="00AB3156" w:rsidRDefault="00FB522C" w:rsidP="00380003">
            <w:pPr>
              <w:rPr>
                <w:rFonts w:ascii="微软雅黑" w:eastAsia="微软雅黑" w:hAnsi="微软雅黑" w:hint="eastAsia"/>
                <w:b/>
                <w:lang w:eastAsia="zh-CN"/>
              </w:rPr>
            </w:pPr>
            <w:r w:rsidRPr="00FB522C">
              <w:rPr>
                <w:rFonts w:ascii="微软雅黑" w:eastAsia="微软雅黑" w:hAnsi="微软雅黑"/>
                <w:lang w:eastAsia="zh"/>
              </w:rPr>
              <w:t>8月21日当周，标普500指数下跌1.43%至7674.37；迷你标普500主力合约下跌1.47%至7687.75点。地缘局势上，周末期间，有三位美方官员表示，21日晚间，有约40艘油轮通过霍尔木兹海峡南侧航道，向外运出原油约1600万桶。受消息影响今日国际油价跳空低开并持续走弱。然而，对于通胀和债务可持续性的担忧，使得美债收益率并未明显回落，10年期美债收益率仍保持在4.7%上方，并对美股形成压制</w:t>
            </w:r>
            <w:r w:rsidR="00E35101" w:rsidRPr="00E35101">
              <w:rPr>
                <w:rFonts w:ascii="微软雅黑" w:eastAsia="微软雅黑" w:hAnsi="微软雅黑"/>
                <w:lang w:eastAsia="zh"/>
              </w:rPr>
              <w:t>。</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05E37DD3" w:rsidR="00B86245" w:rsidRPr="008F5218" w:rsidRDefault="00FB522C" w:rsidP="00B86245">
            <w:pPr>
              <w:rPr>
                <w:rFonts w:ascii="微软雅黑" w:eastAsia="微软雅黑" w:hAnsi="微软雅黑" w:cs="微软雅黑" w:hint="eastAsia"/>
                <w:lang w:eastAsia="zh-CN"/>
              </w:rPr>
            </w:pPr>
            <w:r w:rsidRPr="00FB522C">
              <w:rPr>
                <w:rFonts w:ascii="微软雅黑" w:eastAsia="微软雅黑" w:hAnsi="微软雅黑"/>
                <w:lang w:eastAsia="zh"/>
              </w:rPr>
              <w:t>8月21日当周，富时中国A50指数下跌0.8%至14864.52；新交所富时A50期指主力合约下跌0.48%至14843。海外方面，地缘局势上，周末期间，有三位美方官员表示，21日晚间，有约40艘油轮通过霍尔木兹海峡南侧航道，向外运出原油约1600万桶。受消息影响今日国际油价跳空低开并持续走弱。然而，对于通胀和债务可持续性的担忧，使得美债收益率并未明显回落，10年期美债收益率仍保持在4.7%上方。国内方面，经济基本面，7月份，我国进出口、规上工业增加值、固投、社零多项指标集体回落，投资端尤为疲弱，但值得注意的是高技术产业的生产、投资、出口增速较6月呈现上升。上市公司基本面，已披露半年报的部分公司业绩表现良好，中证500及中证1000指数净利增速分别为39%、26%。整体来看，原油与美债收益率仍在高位，市场压力尚未缓解。同时，宏观基本面对股市带来的压力依旧明显，高科技产业与传统产业分化持续。最后，本周上市公司半年报披露进入冲刺阶段，市场波动预计放大，需密切观察半年报的整体情况</w:t>
            </w:r>
            <w:r w:rsidR="00E35101" w:rsidRPr="00E35101">
              <w:rPr>
                <w:rFonts w:ascii="微软雅黑" w:eastAsia="微软雅黑" w:hAnsi="微软雅黑"/>
                <w:lang w:eastAsia="zh"/>
              </w:rPr>
              <w:t>。</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46769F24" w14:textId="2B729172" w:rsidR="00B86245" w:rsidRPr="003E0237" w:rsidRDefault="00FB522C" w:rsidP="00E35101">
            <w:pPr>
              <w:rPr>
                <w:rFonts w:ascii="微软雅黑" w:eastAsia="微软雅黑" w:hAnsi="微软雅黑" w:hint="eastAsia"/>
                <w:color w:val="000000" w:themeColor="text1"/>
                <w:lang w:eastAsia="zh-CN"/>
              </w:rPr>
            </w:pPr>
            <w:r w:rsidRPr="00FB522C">
              <w:rPr>
                <w:rFonts w:ascii="微软雅黑" w:eastAsia="微软雅黑" w:hAnsi="微软雅黑"/>
                <w:color w:val="000000" w:themeColor="text1"/>
                <w:lang w:eastAsia="zh-CN"/>
              </w:rPr>
              <w:t>隔夜COMEX铜震荡走势，报收6.6085元/磅，涨跌幅-0.16%。国际方面，美联储戴利：尚未看到需提前加息的证据，长债收益率上升是全球问题；美联储穆萨莱姆：现在加息可能有助于避免未来采取更激进的行动。国内方面，中国8月LPR报价出炉，1年期LPR为3.0%，5年期以上LPR为3.5%，均与7月持平，已连续15个月维持不变。东方金诚首席宏观分析师王青认为，后期央行有可能实施政策性降息，将带动LPR报价跟进下调，三季度末或有降准降息可能。库存方面，截至2026年8月20日，COMEX铜库存为741792短吨，环比+530短吨；LME铜库存为239925吨，环比+3950吨；SHFE每日仓单53079吨，环比-3619吨。美元美债方面，美国财政部长贝森特就债券回购问题表示，单次回购规模（上限）可能超过40亿美元。美元指数本持平于98.9附近，最终收涨0.07%，报98.87；基准的10年期美债收益率收涨6.7个基点，报4.705%，对美联储政策利率敏感的2年期美债收益率收涨2.8个基点，报4.19%。操作建议，纽铜主力合约轻仓逢低短多交易，仅供参考</w:t>
            </w:r>
            <w:r>
              <w:rPr>
                <w:rFonts w:ascii="微软雅黑" w:eastAsia="微软雅黑" w:hAnsi="微软雅黑" w:hint="eastAsia"/>
                <w:color w:val="000000" w:themeColor="text1"/>
                <w:lang w:eastAsia="zh-CN"/>
              </w:rPr>
              <w:t>。</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r>
              <w:rPr>
                <w:b/>
                <w:bCs/>
                <w:sz w:val="19"/>
                <w:szCs w:val="19"/>
              </w:rPr>
              <w:t>ICE原糖</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60AA0388" w14:textId="77777777" w:rsidR="00FB522C" w:rsidRPr="00FB522C" w:rsidRDefault="00FB522C" w:rsidP="00FB522C">
            <w:pPr>
              <w:rPr>
                <w:rFonts w:ascii="微软雅黑" w:eastAsia="微软雅黑" w:hAnsi="微软雅黑"/>
                <w:lang w:eastAsia="zh"/>
              </w:rPr>
            </w:pPr>
            <w:r w:rsidRPr="00FB522C">
              <w:rPr>
                <w:rFonts w:ascii="微软雅黑" w:eastAsia="微软雅黑" w:hAnsi="微软雅黑" w:hint="eastAsia"/>
                <w:lang w:eastAsia="zh"/>
              </w:rPr>
              <w:t>本周美糖</w:t>
            </w:r>
            <w:r w:rsidRPr="00FB522C">
              <w:rPr>
                <w:rFonts w:ascii="微软雅黑" w:eastAsia="微软雅黑" w:hAnsi="微软雅黑"/>
                <w:lang w:eastAsia="zh"/>
              </w:rPr>
              <w:t>10</w:t>
            </w:r>
            <w:r w:rsidRPr="00FB522C">
              <w:rPr>
                <w:rFonts w:ascii="微软雅黑" w:eastAsia="微软雅黑" w:hAnsi="微软雅黑" w:hint="eastAsia"/>
                <w:lang w:eastAsia="zh"/>
              </w:rPr>
              <w:t>月合约期价继续上涨，周度涨幅约</w:t>
            </w:r>
            <w:r w:rsidRPr="00FB522C">
              <w:rPr>
                <w:rFonts w:ascii="微软雅黑" w:eastAsia="微软雅黑" w:hAnsi="微软雅黑"/>
                <w:lang w:eastAsia="zh"/>
              </w:rPr>
              <w:t>6.02%</w:t>
            </w:r>
            <w:r w:rsidRPr="00FB522C">
              <w:rPr>
                <w:rFonts w:ascii="微软雅黑" w:eastAsia="微软雅黑" w:hAnsi="微软雅黑" w:hint="eastAsia"/>
                <w:lang w:eastAsia="zh"/>
              </w:rPr>
              <w:t>，受印度食糖进口政策支撑，市场持续消化全球第二产糖国印度将允许免税进口</w:t>
            </w:r>
            <w:r w:rsidRPr="00FB522C">
              <w:rPr>
                <w:rFonts w:ascii="微软雅黑" w:eastAsia="微软雅黑" w:hAnsi="微软雅黑"/>
                <w:lang w:eastAsia="zh"/>
              </w:rPr>
              <w:t>100</w:t>
            </w:r>
            <w:r w:rsidRPr="00FB522C">
              <w:rPr>
                <w:rFonts w:ascii="微软雅黑" w:eastAsia="微软雅黑" w:hAnsi="微软雅黑" w:hint="eastAsia"/>
                <w:lang w:eastAsia="zh"/>
              </w:rPr>
              <w:t>万吨原糖的消息。</w:t>
            </w:r>
          </w:p>
          <w:p w14:paraId="4A4838E5" w14:textId="755673F6" w:rsidR="00B86245" w:rsidRPr="009877C3" w:rsidRDefault="00FB522C" w:rsidP="00FB522C">
            <w:pPr>
              <w:rPr>
                <w:rFonts w:ascii="微软雅黑" w:eastAsia="微软雅黑" w:hAnsi="微软雅黑" w:hint="eastAsia"/>
                <w:lang w:eastAsia="zh-CN"/>
              </w:rPr>
            </w:pPr>
            <w:r w:rsidRPr="00FB522C">
              <w:rPr>
                <w:rFonts w:ascii="微软雅黑" w:eastAsia="微软雅黑" w:hAnsi="微软雅黑" w:hint="eastAsia"/>
                <w:lang w:eastAsia="zh"/>
              </w:rPr>
              <w:t>国际方面，巴西航运机构</w:t>
            </w:r>
            <w:r w:rsidRPr="00FB522C">
              <w:rPr>
                <w:rFonts w:ascii="微软雅黑" w:eastAsia="微软雅黑" w:hAnsi="微软雅黑"/>
                <w:lang w:eastAsia="zh"/>
              </w:rPr>
              <w:t>Williams</w:t>
            </w:r>
            <w:r w:rsidRPr="00FB522C">
              <w:rPr>
                <w:rFonts w:ascii="微软雅黑" w:eastAsia="微软雅黑" w:hAnsi="微软雅黑" w:hint="eastAsia"/>
                <w:lang w:eastAsia="zh"/>
              </w:rPr>
              <w:t>发布的数据显示，截至</w:t>
            </w:r>
            <w:r w:rsidRPr="00FB522C">
              <w:rPr>
                <w:rFonts w:ascii="微软雅黑" w:eastAsia="微软雅黑" w:hAnsi="微软雅黑"/>
                <w:lang w:eastAsia="zh"/>
              </w:rPr>
              <w:t>8</w:t>
            </w:r>
            <w:r w:rsidRPr="00FB522C">
              <w:rPr>
                <w:rFonts w:ascii="微软雅黑" w:eastAsia="微软雅黑" w:hAnsi="微软雅黑" w:hint="eastAsia"/>
                <w:lang w:eastAsia="zh"/>
              </w:rPr>
              <w:t>月</w:t>
            </w:r>
            <w:r w:rsidRPr="00FB522C">
              <w:rPr>
                <w:rFonts w:ascii="微软雅黑" w:eastAsia="微软雅黑" w:hAnsi="微软雅黑"/>
                <w:lang w:eastAsia="zh"/>
              </w:rPr>
              <w:t>19</w:t>
            </w:r>
            <w:r w:rsidRPr="00FB522C">
              <w:rPr>
                <w:rFonts w:ascii="微软雅黑" w:eastAsia="微软雅黑" w:hAnsi="微软雅黑" w:hint="eastAsia"/>
                <w:lang w:eastAsia="zh"/>
              </w:rPr>
              <w:t>日当周，巴西港口等待装运食糖的船只数量为</w:t>
            </w:r>
            <w:r w:rsidRPr="00FB522C">
              <w:rPr>
                <w:rFonts w:ascii="微软雅黑" w:eastAsia="微软雅黑" w:hAnsi="微软雅黑"/>
                <w:lang w:eastAsia="zh"/>
              </w:rPr>
              <w:t>54</w:t>
            </w:r>
            <w:r w:rsidRPr="00FB522C">
              <w:rPr>
                <w:rFonts w:ascii="微软雅黑" w:eastAsia="微软雅黑" w:hAnsi="微软雅黑" w:hint="eastAsia"/>
                <w:lang w:eastAsia="zh"/>
              </w:rPr>
              <w:t>艘，此前一周为</w:t>
            </w:r>
            <w:r w:rsidRPr="00FB522C">
              <w:rPr>
                <w:rFonts w:ascii="微软雅黑" w:eastAsia="微软雅黑" w:hAnsi="微软雅黑"/>
                <w:lang w:eastAsia="zh"/>
              </w:rPr>
              <w:t>57</w:t>
            </w:r>
            <w:r w:rsidRPr="00FB522C">
              <w:rPr>
                <w:rFonts w:ascii="微软雅黑" w:eastAsia="微软雅黑" w:hAnsi="微软雅黑" w:hint="eastAsia"/>
                <w:lang w:eastAsia="zh"/>
              </w:rPr>
              <w:t>艘。港口等待装运的食糖数量为</w:t>
            </w:r>
            <w:r w:rsidRPr="00FB522C">
              <w:rPr>
                <w:rFonts w:ascii="微软雅黑" w:eastAsia="微软雅黑" w:hAnsi="微软雅黑"/>
                <w:lang w:eastAsia="zh"/>
              </w:rPr>
              <w:t>236.33</w:t>
            </w:r>
            <w:r w:rsidRPr="00FB522C">
              <w:rPr>
                <w:rFonts w:ascii="微软雅黑" w:eastAsia="微软雅黑" w:hAnsi="微软雅黑" w:hint="eastAsia"/>
                <w:lang w:eastAsia="zh"/>
              </w:rPr>
              <w:t>万吨，较此前一周为</w:t>
            </w:r>
            <w:r w:rsidRPr="00FB522C">
              <w:rPr>
                <w:rFonts w:ascii="微软雅黑" w:eastAsia="微软雅黑" w:hAnsi="微软雅黑"/>
                <w:lang w:eastAsia="zh"/>
              </w:rPr>
              <w:t>257.78</w:t>
            </w:r>
            <w:r w:rsidRPr="00FB522C">
              <w:rPr>
                <w:rFonts w:ascii="微软雅黑" w:eastAsia="微软雅黑" w:hAnsi="微软雅黑" w:hint="eastAsia"/>
                <w:lang w:eastAsia="zh"/>
              </w:rPr>
              <w:t>万吨下降</w:t>
            </w:r>
            <w:r w:rsidRPr="00FB522C">
              <w:rPr>
                <w:rFonts w:ascii="微软雅黑" w:eastAsia="微软雅黑" w:hAnsi="微软雅黑"/>
                <w:lang w:eastAsia="zh"/>
              </w:rPr>
              <w:t>8.32%</w:t>
            </w:r>
            <w:r w:rsidRPr="00FB522C">
              <w:rPr>
                <w:rFonts w:ascii="微软雅黑" w:eastAsia="微软雅黑" w:hAnsi="微软雅黑" w:hint="eastAsia"/>
                <w:lang w:eastAsia="zh"/>
              </w:rPr>
              <w:t>。其中桑托斯港等待出口的食糖数量为</w:t>
            </w:r>
            <w:r w:rsidRPr="00FB522C">
              <w:rPr>
                <w:rFonts w:ascii="微软雅黑" w:eastAsia="微软雅黑" w:hAnsi="微软雅黑"/>
                <w:lang w:eastAsia="zh"/>
              </w:rPr>
              <w:t>185.88</w:t>
            </w:r>
            <w:r w:rsidRPr="00FB522C">
              <w:rPr>
                <w:rFonts w:ascii="微软雅黑" w:eastAsia="微软雅黑" w:hAnsi="微软雅黑" w:hint="eastAsia"/>
                <w:lang w:eastAsia="zh"/>
              </w:rPr>
              <w:t>万吨，环比下降</w:t>
            </w:r>
            <w:r w:rsidRPr="00FB522C">
              <w:rPr>
                <w:rFonts w:ascii="微软雅黑" w:eastAsia="微软雅黑" w:hAnsi="微软雅黑"/>
                <w:lang w:eastAsia="zh"/>
              </w:rPr>
              <w:t>10.26%</w:t>
            </w:r>
            <w:r w:rsidRPr="00FB522C">
              <w:rPr>
                <w:rFonts w:ascii="微软雅黑" w:eastAsia="微软雅黑" w:hAnsi="微软雅黑" w:hint="eastAsia"/>
                <w:lang w:eastAsia="zh"/>
              </w:rPr>
              <w:t>。当</w:t>
            </w:r>
            <w:r w:rsidRPr="00FB522C">
              <w:rPr>
                <w:rFonts w:ascii="微软雅黑" w:eastAsia="微软雅黑" w:hAnsi="微软雅黑" w:hint="eastAsia"/>
                <w:lang w:eastAsia="zh"/>
              </w:rPr>
              <w:lastRenderedPageBreak/>
              <w:t>周等待装运出口的食糖船只数量小幅减少</w:t>
            </w:r>
            <w:r w:rsidR="004B6B43">
              <w:rPr>
                <w:rFonts w:ascii="微软雅黑" w:eastAsia="微软雅黑" w:hAnsi="微软雅黑" w:hint="eastAsia"/>
                <w:lang w:eastAsia="zh"/>
              </w:rPr>
              <w:t>。</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lastRenderedPageBreak/>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46B7C077" w14:textId="77777777" w:rsidR="00FB522C" w:rsidRPr="00FB522C" w:rsidRDefault="00FB522C" w:rsidP="00FB522C">
            <w:pPr>
              <w:rPr>
                <w:rFonts w:ascii="微软雅黑" w:eastAsia="微软雅黑" w:hAnsi="微软雅黑"/>
                <w:lang w:eastAsia="zh"/>
              </w:rPr>
            </w:pPr>
            <w:r w:rsidRPr="00FB522C">
              <w:rPr>
                <w:rFonts w:ascii="微软雅黑" w:eastAsia="微软雅黑" w:hAnsi="微软雅黑" w:hint="eastAsia"/>
                <w:lang w:eastAsia="zh"/>
              </w:rPr>
              <w:t>本周美棉</w:t>
            </w:r>
            <w:r w:rsidRPr="00FB522C">
              <w:rPr>
                <w:rFonts w:ascii="微软雅黑" w:eastAsia="微软雅黑" w:hAnsi="微软雅黑"/>
                <w:lang w:eastAsia="zh"/>
              </w:rPr>
              <w:t>12</w:t>
            </w:r>
            <w:r w:rsidRPr="00FB522C">
              <w:rPr>
                <w:rFonts w:ascii="微软雅黑" w:eastAsia="微软雅黑" w:hAnsi="微软雅黑" w:hint="eastAsia"/>
                <w:lang w:eastAsia="zh"/>
              </w:rPr>
              <w:t>月合约价格上涨，周度涨幅约</w:t>
            </w:r>
            <w:r w:rsidRPr="00FB522C">
              <w:rPr>
                <w:rFonts w:ascii="微软雅黑" w:eastAsia="微软雅黑" w:hAnsi="微软雅黑"/>
                <w:lang w:eastAsia="zh"/>
              </w:rPr>
              <w:t>4.2%</w:t>
            </w:r>
            <w:r w:rsidRPr="00FB522C">
              <w:rPr>
                <w:rFonts w:ascii="微软雅黑" w:eastAsia="微软雅黑" w:hAnsi="微软雅黑" w:hint="eastAsia"/>
                <w:lang w:eastAsia="zh"/>
              </w:rPr>
              <w:t>，受天气担忧及美元走软共同支撑。</w:t>
            </w:r>
          </w:p>
          <w:p w14:paraId="56C224A3" w14:textId="125F7A29" w:rsidR="00B86245" w:rsidRPr="009E7C92" w:rsidRDefault="00FB522C" w:rsidP="00FB522C">
            <w:pPr>
              <w:rPr>
                <w:rFonts w:ascii="微软雅黑" w:eastAsia="微软雅黑" w:hAnsi="微软雅黑" w:hint="eastAsia"/>
                <w:lang w:eastAsia="zh"/>
              </w:rPr>
            </w:pPr>
            <w:r w:rsidRPr="00FB522C">
              <w:rPr>
                <w:rFonts w:ascii="微软雅黑" w:eastAsia="微软雅黑" w:hAnsi="微软雅黑" w:hint="eastAsia"/>
                <w:lang w:eastAsia="zh"/>
              </w:rPr>
              <w:t>国际方面，据美国农业部</w:t>
            </w:r>
            <w:r w:rsidRPr="00FB522C">
              <w:rPr>
                <w:rFonts w:ascii="微软雅黑" w:eastAsia="微软雅黑" w:hAnsi="微软雅黑"/>
                <w:lang w:eastAsia="zh"/>
              </w:rPr>
              <w:t>(USDA)</w:t>
            </w:r>
            <w:r w:rsidRPr="00FB522C">
              <w:rPr>
                <w:rFonts w:ascii="微软雅黑" w:eastAsia="微软雅黑" w:hAnsi="微软雅黑" w:hint="eastAsia"/>
                <w:lang w:eastAsia="zh"/>
              </w:rPr>
              <w:t>报告显示，</w:t>
            </w:r>
            <w:r w:rsidRPr="00FB522C">
              <w:rPr>
                <w:rFonts w:ascii="微软雅黑" w:eastAsia="微软雅黑" w:hAnsi="微软雅黑"/>
                <w:lang w:eastAsia="zh"/>
              </w:rPr>
              <w:t>8</w:t>
            </w:r>
            <w:r w:rsidRPr="00FB522C">
              <w:rPr>
                <w:rFonts w:ascii="微软雅黑" w:eastAsia="微软雅黑" w:hAnsi="微软雅黑" w:hint="eastAsia"/>
                <w:lang w:eastAsia="zh"/>
              </w:rPr>
              <w:t>月</w:t>
            </w:r>
            <w:r w:rsidRPr="00FB522C">
              <w:rPr>
                <w:rFonts w:ascii="微软雅黑" w:eastAsia="微软雅黑" w:hAnsi="微软雅黑"/>
                <w:lang w:eastAsia="zh"/>
              </w:rPr>
              <w:t>13</w:t>
            </w:r>
            <w:r w:rsidRPr="00FB522C">
              <w:rPr>
                <w:rFonts w:ascii="微软雅黑" w:eastAsia="微软雅黑" w:hAnsi="微软雅黑" w:hint="eastAsia"/>
                <w:lang w:eastAsia="zh"/>
              </w:rPr>
              <w:t>日止当周，美国</w:t>
            </w:r>
            <w:r w:rsidRPr="00FB522C">
              <w:rPr>
                <w:rFonts w:ascii="微软雅黑" w:eastAsia="微软雅黑" w:hAnsi="微软雅黑"/>
                <w:lang w:eastAsia="zh"/>
              </w:rPr>
              <w:t>2026/27</w:t>
            </w:r>
            <w:r w:rsidRPr="00FB522C">
              <w:rPr>
                <w:rFonts w:ascii="微软雅黑" w:eastAsia="微软雅黑" w:hAnsi="微软雅黑" w:hint="eastAsia"/>
                <w:lang w:eastAsia="zh"/>
              </w:rPr>
              <w:t>年度（</w:t>
            </w:r>
            <w:r w:rsidRPr="00FB522C">
              <w:rPr>
                <w:rFonts w:ascii="微软雅黑" w:eastAsia="微软雅黑" w:hAnsi="微软雅黑"/>
                <w:lang w:eastAsia="zh"/>
              </w:rPr>
              <w:t>8</w:t>
            </w:r>
            <w:r w:rsidRPr="00FB522C">
              <w:rPr>
                <w:rFonts w:ascii="微软雅黑" w:eastAsia="微软雅黑" w:hAnsi="微软雅黑" w:hint="eastAsia"/>
                <w:lang w:eastAsia="zh"/>
              </w:rPr>
              <w:t>月</w:t>
            </w:r>
            <w:r w:rsidRPr="00FB522C">
              <w:rPr>
                <w:rFonts w:ascii="微软雅黑" w:eastAsia="微软雅黑" w:hAnsi="微软雅黑"/>
                <w:lang w:eastAsia="zh"/>
              </w:rPr>
              <w:t>1</w:t>
            </w:r>
            <w:r w:rsidRPr="00FB522C">
              <w:rPr>
                <w:rFonts w:ascii="微软雅黑" w:eastAsia="微软雅黑" w:hAnsi="微软雅黑" w:hint="eastAsia"/>
                <w:lang w:eastAsia="zh"/>
              </w:rPr>
              <w:t>日开始）陆地棉出口销售净增</w:t>
            </w:r>
            <w:r w:rsidRPr="00FB522C">
              <w:rPr>
                <w:rFonts w:ascii="微软雅黑" w:eastAsia="微软雅黑" w:hAnsi="微软雅黑"/>
                <w:lang w:eastAsia="zh"/>
              </w:rPr>
              <w:t>20.936</w:t>
            </w:r>
            <w:r w:rsidRPr="00FB522C">
              <w:rPr>
                <w:rFonts w:ascii="微软雅黑" w:eastAsia="微软雅黑" w:hAnsi="微软雅黑" w:hint="eastAsia"/>
                <w:lang w:eastAsia="zh"/>
              </w:rPr>
              <w:t>万包，当周美国市场出口装船</w:t>
            </w:r>
            <w:r w:rsidRPr="00FB522C">
              <w:rPr>
                <w:rFonts w:ascii="微软雅黑" w:eastAsia="微软雅黑" w:hAnsi="微软雅黑"/>
                <w:lang w:eastAsia="zh"/>
              </w:rPr>
              <w:t>222046</w:t>
            </w:r>
            <w:r w:rsidRPr="00FB522C">
              <w:rPr>
                <w:rFonts w:ascii="微软雅黑" w:eastAsia="微软雅黑" w:hAnsi="微软雅黑" w:hint="eastAsia"/>
                <w:lang w:eastAsia="zh"/>
              </w:rPr>
              <w:t>包，出口销售报告凸显需求可观。</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0D35EBB1" w14:textId="77777777" w:rsidR="00FB522C" w:rsidRPr="00FB522C" w:rsidRDefault="00FB522C" w:rsidP="00FB522C">
            <w:pPr>
              <w:rPr>
                <w:rFonts w:ascii="微软雅黑" w:eastAsia="微软雅黑" w:hAnsi="微软雅黑"/>
                <w:lang w:eastAsia="zh"/>
              </w:rPr>
            </w:pPr>
            <w:r w:rsidRPr="00FB522C">
              <w:rPr>
                <w:rFonts w:ascii="微软雅黑" w:eastAsia="微软雅黑" w:hAnsi="微软雅黑" w:hint="eastAsia"/>
                <w:lang w:eastAsia="zh"/>
              </w:rPr>
              <w:t>截至</w:t>
            </w:r>
            <w:r w:rsidRPr="00FB522C">
              <w:rPr>
                <w:rFonts w:ascii="微软雅黑" w:eastAsia="微软雅黑" w:hAnsi="微软雅黑"/>
                <w:lang w:eastAsia="zh"/>
              </w:rPr>
              <w:t>8</w:t>
            </w:r>
            <w:r w:rsidRPr="00FB522C">
              <w:rPr>
                <w:rFonts w:ascii="微软雅黑" w:eastAsia="微软雅黑" w:hAnsi="微软雅黑" w:hint="eastAsia"/>
                <w:lang w:eastAsia="zh"/>
              </w:rPr>
              <w:t>月</w:t>
            </w:r>
            <w:r w:rsidRPr="00FB522C">
              <w:rPr>
                <w:rFonts w:ascii="微软雅黑" w:eastAsia="微软雅黑" w:hAnsi="微软雅黑"/>
                <w:lang w:eastAsia="zh"/>
              </w:rPr>
              <w:t>21</w:t>
            </w:r>
            <w:r w:rsidRPr="00FB522C">
              <w:rPr>
                <w:rFonts w:ascii="微软雅黑" w:eastAsia="微软雅黑" w:hAnsi="微软雅黑" w:hint="eastAsia"/>
                <w:lang w:eastAsia="zh"/>
              </w:rPr>
              <w:t>日，美元指数跌</w:t>
            </w:r>
            <w:r w:rsidRPr="00FB522C">
              <w:rPr>
                <w:rFonts w:ascii="微软雅黑" w:eastAsia="微软雅黑" w:hAnsi="微软雅黑"/>
                <w:lang w:eastAsia="zh"/>
              </w:rPr>
              <w:t>0.02%</w:t>
            </w:r>
            <w:r w:rsidRPr="00FB522C">
              <w:rPr>
                <w:rFonts w:ascii="微软雅黑" w:eastAsia="微软雅黑" w:hAnsi="微软雅黑" w:hint="eastAsia"/>
                <w:lang w:eastAsia="zh"/>
              </w:rPr>
              <w:t>报</w:t>
            </w:r>
            <w:r w:rsidRPr="00FB522C">
              <w:rPr>
                <w:rFonts w:ascii="微软雅黑" w:eastAsia="微软雅黑" w:hAnsi="微软雅黑"/>
                <w:lang w:eastAsia="zh"/>
              </w:rPr>
              <w:t>98.85</w:t>
            </w:r>
            <w:r w:rsidRPr="00FB522C">
              <w:rPr>
                <w:rFonts w:ascii="微软雅黑" w:eastAsia="微软雅黑" w:hAnsi="微软雅黑" w:hint="eastAsia"/>
                <w:lang w:eastAsia="zh"/>
              </w:rPr>
              <w:t>，非美货币涨跌不一，欧元兑美元跌</w:t>
            </w:r>
            <w:r w:rsidRPr="00FB522C">
              <w:rPr>
                <w:rFonts w:ascii="微软雅黑" w:eastAsia="微软雅黑" w:hAnsi="微软雅黑"/>
                <w:lang w:eastAsia="zh"/>
              </w:rPr>
              <w:t>0.02%</w:t>
            </w:r>
            <w:r w:rsidRPr="00FB522C">
              <w:rPr>
                <w:rFonts w:ascii="微软雅黑" w:eastAsia="微软雅黑" w:hAnsi="微软雅黑" w:hint="eastAsia"/>
                <w:lang w:eastAsia="zh"/>
              </w:rPr>
              <w:t>报</w:t>
            </w:r>
            <w:r w:rsidRPr="00FB522C">
              <w:rPr>
                <w:rFonts w:ascii="微软雅黑" w:eastAsia="微软雅黑" w:hAnsi="微软雅黑"/>
                <w:lang w:eastAsia="zh"/>
              </w:rPr>
              <w:t>1.1677</w:t>
            </w:r>
            <w:r w:rsidRPr="00FB522C">
              <w:rPr>
                <w:rFonts w:ascii="微软雅黑" w:eastAsia="微软雅黑" w:hAnsi="微软雅黑" w:hint="eastAsia"/>
                <w:lang w:eastAsia="zh"/>
              </w:rPr>
              <w:t>，英镑兑美元涨</w:t>
            </w:r>
            <w:r w:rsidRPr="00FB522C">
              <w:rPr>
                <w:rFonts w:ascii="微软雅黑" w:eastAsia="微软雅黑" w:hAnsi="微软雅黑"/>
                <w:lang w:eastAsia="zh"/>
              </w:rPr>
              <w:t>0.10%</w:t>
            </w:r>
            <w:r w:rsidRPr="00FB522C">
              <w:rPr>
                <w:rFonts w:ascii="微软雅黑" w:eastAsia="微软雅黑" w:hAnsi="微软雅黑" w:hint="eastAsia"/>
                <w:lang w:eastAsia="zh"/>
              </w:rPr>
              <w:t>报</w:t>
            </w:r>
            <w:r w:rsidRPr="00FB522C">
              <w:rPr>
                <w:rFonts w:ascii="微软雅黑" w:eastAsia="微软雅黑" w:hAnsi="微软雅黑"/>
                <w:lang w:eastAsia="zh"/>
              </w:rPr>
              <w:t>1.3644</w:t>
            </w:r>
            <w:r w:rsidRPr="00FB522C">
              <w:rPr>
                <w:rFonts w:ascii="微软雅黑" w:eastAsia="微软雅黑" w:hAnsi="微软雅黑" w:hint="eastAsia"/>
                <w:lang w:eastAsia="zh"/>
              </w:rPr>
              <w:t>，美元兑日元跌</w:t>
            </w:r>
            <w:r w:rsidRPr="00FB522C">
              <w:rPr>
                <w:rFonts w:ascii="微软雅黑" w:eastAsia="微软雅黑" w:hAnsi="微软雅黑"/>
                <w:lang w:eastAsia="zh"/>
              </w:rPr>
              <w:t>0.06%</w:t>
            </w:r>
            <w:r w:rsidRPr="00FB522C">
              <w:rPr>
                <w:rFonts w:ascii="微软雅黑" w:eastAsia="微软雅黑" w:hAnsi="微软雅黑" w:hint="eastAsia"/>
                <w:lang w:eastAsia="zh"/>
              </w:rPr>
              <w:t>报</w:t>
            </w:r>
            <w:r w:rsidRPr="00FB522C">
              <w:rPr>
                <w:rFonts w:ascii="微软雅黑" w:eastAsia="微软雅黑" w:hAnsi="微软雅黑"/>
                <w:lang w:eastAsia="zh"/>
              </w:rPr>
              <w:t>158.9800</w:t>
            </w:r>
            <w:r w:rsidRPr="00FB522C">
              <w:rPr>
                <w:rFonts w:ascii="微软雅黑" w:eastAsia="微软雅黑" w:hAnsi="微软雅黑" w:hint="eastAsia"/>
                <w:lang w:eastAsia="zh"/>
              </w:rPr>
              <w:t>。</w:t>
            </w:r>
          </w:p>
          <w:p w14:paraId="689FA477" w14:textId="77777777" w:rsidR="00FB522C" w:rsidRPr="00FB522C" w:rsidRDefault="00FB522C" w:rsidP="00FB522C">
            <w:pPr>
              <w:rPr>
                <w:rFonts w:ascii="微软雅黑" w:eastAsia="微软雅黑" w:hAnsi="微软雅黑"/>
                <w:lang w:eastAsia="zh"/>
              </w:rPr>
            </w:pPr>
            <w:r w:rsidRPr="00FB522C">
              <w:rPr>
                <w:rFonts w:ascii="微软雅黑" w:eastAsia="微软雅黑" w:hAnsi="微软雅黑" w:hint="eastAsia"/>
                <w:lang w:eastAsia="zh"/>
              </w:rPr>
              <w:t>上周美元指数及美债收益率震荡回落。美联储</w:t>
            </w:r>
            <w:r w:rsidRPr="00FB522C">
              <w:rPr>
                <w:rFonts w:ascii="微软雅黑" w:eastAsia="微软雅黑" w:hAnsi="微软雅黑"/>
                <w:lang w:eastAsia="zh"/>
              </w:rPr>
              <w:t>7</w:t>
            </w:r>
            <w:r w:rsidRPr="00FB522C">
              <w:rPr>
                <w:rFonts w:ascii="微软雅黑" w:eastAsia="微软雅黑" w:hAnsi="微软雅黑" w:hint="eastAsia"/>
                <w:lang w:eastAsia="zh"/>
              </w:rPr>
              <w:t>月会议纪要调中性偏鹰，多名官员表示若通胀未能回落或需进一步加息。美国联邦政府债务总额突破</w:t>
            </w:r>
            <w:r w:rsidRPr="00FB522C">
              <w:rPr>
                <w:rFonts w:ascii="微软雅黑" w:eastAsia="微软雅黑" w:hAnsi="微软雅黑"/>
                <w:lang w:eastAsia="zh"/>
              </w:rPr>
              <w:t>40</w:t>
            </w:r>
            <w:r w:rsidRPr="00FB522C">
              <w:rPr>
                <w:rFonts w:ascii="微软雅黑" w:eastAsia="微软雅黑" w:hAnsi="微软雅黑" w:hint="eastAsia"/>
                <w:lang w:eastAsia="zh"/>
              </w:rPr>
              <w:t>万亿美元，财政赤字压力加大，引发投资者对财政可持续性的担忧，海外美债持仓总额较高位下滑，美财政部将长端美债回购规模翻倍至</w:t>
            </w:r>
            <w:r w:rsidRPr="00FB522C">
              <w:rPr>
                <w:rFonts w:ascii="微软雅黑" w:eastAsia="微软雅黑" w:hAnsi="微软雅黑"/>
                <w:lang w:eastAsia="zh"/>
              </w:rPr>
              <w:t>40</w:t>
            </w:r>
            <w:r w:rsidRPr="00FB522C">
              <w:rPr>
                <w:rFonts w:ascii="微软雅黑" w:eastAsia="微软雅黑" w:hAnsi="微软雅黑" w:hint="eastAsia"/>
                <w:lang w:eastAsia="zh"/>
              </w:rPr>
              <w:t>亿美元，此前创近三年新高的长端美债收益率高位回落。展望后市，美国就业通胀放缓对美联储加息预期形成打压，叠加财政部政策干预对长端利率形成短线压制，美元上方阻力较强，但地缘避险需求仍构成潜在支撑，美元指数短期或震荡运行。</w:t>
            </w:r>
          </w:p>
          <w:p w14:paraId="5F843723" w14:textId="4F7547CA" w:rsidR="00B86245" w:rsidRPr="00380003" w:rsidRDefault="00FB522C" w:rsidP="00FB522C">
            <w:pPr>
              <w:rPr>
                <w:rFonts w:ascii="微软雅黑" w:eastAsia="微软雅黑" w:hAnsi="微软雅黑" w:hint="eastAsia"/>
                <w:lang w:eastAsia="zh-CN"/>
              </w:rPr>
            </w:pPr>
            <w:r w:rsidRPr="00FB522C">
              <w:rPr>
                <w:rFonts w:ascii="微软雅黑" w:eastAsia="微软雅黑" w:hAnsi="微软雅黑" w:hint="eastAsia"/>
                <w:lang w:eastAsia="zh"/>
              </w:rPr>
              <w:t>欧元区方面，经济基本面边际改善为欧元提供支撑，德国</w:t>
            </w:r>
            <w:r w:rsidRPr="00FB522C">
              <w:rPr>
                <w:rFonts w:ascii="微软雅黑" w:eastAsia="微软雅黑" w:hAnsi="微软雅黑"/>
                <w:lang w:eastAsia="zh"/>
              </w:rPr>
              <w:t>7</w:t>
            </w:r>
            <w:r w:rsidRPr="00FB522C">
              <w:rPr>
                <w:rFonts w:ascii="微软雅黑" w:eastAsia="微软雅黑" w:hAnsi="微软雅黑" w:hint="eastAsia"/>
                <w:lang w:eastAsia="zh"/>
              </w:rPr>
              <w:t>月</w:t>
            </w:r>
            <w:r w:rsidRPr="00FB522C">
              <w:rPr>
                <w:rFonts w:ascii="微软雅黑" w:eastAsia="微软雅黑" w:hAnsi="微软雅黑"/>
                <w:lang w:eastAsia="zh"/>
              </w:rPr>
              <w:t>PPI</w:t>
            </w:r>
            <w:r w:rsidRPr="00FB522C">
              <w:rPr>
                <w:rFonts w:ascii="微软雅黑" w:eastAsia="微软雅黑" w:hAnsi="微软雅黑" w:hint="eastAsia"/>
                <w:lang w:eastAsia="zh"/>
              </w:rPr>
              <w:t>增速录得阶段新高，进一步印证欧元区通胀粘性，但美联储官员对通胀上行风险的偏鹰表态，或继续对美债收益率形成支持，欧元上行空间或受限。日本</w:t>
            </w:r>
            <w:r w:rsidRPr="00FB522C">
              <w:rPr>
                <w:rFonts w:ascii="微软雅黑" w:eastAsia="微软雅黑" w:hAnsi="微软雅黑"/>
                <w:lang w:eastAsia="zh"/>
              </w:rPr>
              <w:t>7</w:t>
            </w:r>
            <w:r w:rsidRPr="00FB522C">
              <w:rPr>
                <w:rFonts w:ascii="微软雅黑" w:eastAsia="微软雅黑" w:hAnsi="微软雅黑" w:hint="eastAsia"/>
                <w:lang w:eastAsia="zh"/>
              </w:rPr>
              <w:t>月核心</w:t>
            </w:r>
            <w:r w:rsidRPr="00FB522C">
              <w:rPr>
                <w:rFonts w:ascii="微软雅黑" w:eastAsia="微软雅黑" w:hAnsi="微软雅黑"/>
                <w:lang w:eastAsia="zh"/>
              </w:rPr>
              <w:t>CPI</w:t>
            </w:r>
            <w:r w:rsidRPr="00FB522C">
              <w:rPr>
                <w:rFonts w:ascii="微软雅黑" w:eastAsia="微软雅黑" w:hAnsi="微软雅黑" w:hint="eastAsia"/>
                <w:lang w:eastAsia="zh"/>
              </w:rPr>
              <w:t>同比升至</w:t>
            </w:r>
            <w:r w:rsidRPr="00FB522C">
              <w:rPr>
                <w:rFonts w:ascii="微软雅黑" w:eastAsia="微软雅黑" w:hAnsi="微软雅黑"/>
                <w:lang w:eastAsia="zh"/>
              </w:rPr>
              <w:t>1.8%</w:t>
            </w:r>
            <w:r w:rsidRPr="00FB522C">
              <w:rPr>
                <w:rFonts w:ascii="微软雅黑" w:eastAsia="微软雅黑" w:hAnsi="微软雅黑" w:hint="eastAsia"/>
                <w:lang w:eastAsia="zh"/>
              </w:rPr>
              <w:t>，强化市场对日央行</w:t>
            </w:r>
            <w:r w:rsidRPr="00FB522C">
              <w:rPr>
                <w:rFonts w:ascii="微软雅黑" w:eastAsia="微软雅黑" w:hAnsi="微软雅黑"/>
                <w:lang w:eastAsia="zh"/>
              </w:rPr>
              <w:t>9</w:t>
            </w:r>
            <w:r w:rsidRPr="00FB522C">
              <w:rPr>
                <w:rFonts w:ascii="微软雅黑" w:eastAsia="微软雅黑" w:hAnsi="微软雅黑" w:hint="eastAsia"/>
                <w:lang w:eastAsia="zh"/>
              </w:rPr>
              <w:t>月加息的预期，但中东局势紧张推升油价，叠加日本对中东能源的高依赖，短期内仍对日元形成压力，美元兑日元存在上行风险。中期来看，货币政策正常化、结构性改革及经济韧性或为日元提供支撑，关注</w:t>
            </w:r>
            <w:r w:rsidRPr="00FB522C">
              <w:rPr>
                <w:rFonts w:ascii="微软雅黑" w:eastAsia="微软雅黑" w:hAnsi="微软雅黑"/>
                <w:lang w:eastAsia="zh"/>
              </w:rPr>
              <w:t>9</w:t>
            </w:r>
            <w:r w:rsidRPr="00FB522C">
              <w:rPr>
                <w:rFonts w:ascii="微软雅黑" w:eastAsia="微软雅黑" w:hAnsi="微软雅黑" w:hint="eastAsia"/>
                <w:lang w:eastAsia="zh"/>
              </w:rPr>
              <w:t>月议息会议与能源价格走势。</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5752C24B" w:rsidR="00B86245" w:rsidRPr="00E63E1E" w:rsidRDefault="00FB522C" w:rsidP="00B86245">
            <w:pPr>
              <w:rPr>
                <w:rFonts w:ascii="微软雅黑" w:eastAsia="微软雅黑" w:hAnsi="微软雅黑" w:hint="eastAsia"/>
                <w:lang w:eastAsia="zh"/>
              </w:rPr>
            </w:pPr>
            <w:r w:rsidRPr="00FB522C">
              <w:rPr>
                <w:rFonts w:ascii="微软雅黑" w:eastAsia="微软雅黑" w:hAnsi="微软雅黑"/>
                <w:lang w:eastAsia="zh"/>
              </w:rPr>
              <w:t>截至8月21日，海外贵金属市场延续反弹，COMEX黄金期货涨1.97%报4661.60美元/盎司，周涨5.05%，COMEX白银期货涨1.33%报69.01美元/盎司，周涨5.99%。周末期间，美国与加拿大关税谈判破裂，美对部分加拿大商品加征50%关税，市场避险情绪升温。美伊谈判陷入僵局，伊朗与阿曼围绕复航的谈判虽接近最后阶段，但特朗普对此表示不满，"边打边谈"成为后续基准情景。美国财政部超预期扩张长端美债回购规模，推动美债收益率高位回落；美国公共债务总额突破40万亿美元，财政赤字压力持续上行，引发投资者对美财政可持续性的担忧，阶段性提振黄金避险对冲属性。美联储7月会议纪要显示，倾向加息的官员范围大于正式投下反对票的人数，若后续通胀难以顺畅回落，部分官员亦可能转向支持加息，整体基调中性偏鹰。展望后市，前期对于金价显著利空的加息因素边际转弱，地缘避险逻辑边际修复，金价有望维持震荡偏强运行，短期主要风险点包括：联储官员鹰派表态反复，紧缩预期尚未完全出清；美伊谈判进展反复，若通行争端持续僵持，油价走强仍可能通过物价传导抬升加息预期，进而制约金价上行空间。操作上建议逢低布局多单，近期贵金属累积较大涨幅，短期内或存在获利了结需求升温，导致价格波动加剧，注意严格风险控制。</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r>
        <w:rPr>
          <w:rFonts w:ascii="微软雅黑" w:eastAsia="微软雅黑" w:hAnsi="微软雅黑" w:cs="微软雅黑"/>
          <w:b/>
          <w:bCs/>
          <w:color w:val="036EB8"/>
          <w:spacing w:val="10"/>
          <w:sz w:val="28"/>
          <w:szCs w:val="28"/>
        </w:rPr>
        <w:t>周度</w:t>
      </w:r>
      <w:r>
        <w:rPr>
          <w:rFonts w:ascii="微软雅黑" w:eastAsia="微软雅黑" w:hAnsi="微软雅黑" w:cs="微软雅黑" w:hint="eastAsia"/>
          <w:b/>
          <w:bCs/>
          <w:color w:val="036EB8"/>
          <w:spacing w:val="10"/>
          <w:sz w:val="28"/>
          <w:szCs w:val="28"/>
          <w:lang w:eastAsia="zh-CN"/>
        </w:rPr>
        <w:t>品种图表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trPr>
          <w:trHeight w:val="3516"/>
        </w:trPr>
        <w:tc>
          <w:tcPr>
            <w:tcW w:w="9417" w:type="dxa"/>
          </w:tcPr>
          <w:p w14:paraId="75600B6D" w14:textId="17A524A1" w:rsidR="006D4218" w:rsidRDefault="00EE0789">
            <w:pPr>
              <w:spacing w:line="4053" w:lineRule="exact"/>
              <w:jc w:val="both"/>
              <w:rPr>
                <w:rFonts w:eastAsia="宋体"/>
                <w:lang w:eastAsia="zh-CN"/>
              </w:rPr>
            </w:pPr>
            <w:r>
              <w:rPr>
                <w:rFonts w:eastAsia="宋体"/>
                <w:noProof/>
                <w:lang w:eastAsia="zh-CN"/>
              </w:rPr>
              <w:object w:dxaOrig="7200" w:dyaOrig="4320" w14:anchorId="3FD9532D">
                <v:shape id="_x0000_i1095" type="#_x0000_t75" style="width:231.5pt;height:150.75pt" o:ole="">
                  <v:imagedata r:id="rId15" o:title=""/>
                </v:shape>
                <o:OLEObject Type="Link" ProgID="Excel.Sheet.12" ShapeID="_x0000_i1095"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0" w:dyaOrig="4320" w14:anchorId="31106B53">
                <v:shape id="_x0000_i1096" type="#_x0000_t75" style="width:224.7pt;height:150.1pt" o:ole="">
                  <v:imagedata r:id="rId17" o:title=""/>
                </v:shape>
                <o:OLEObject Type="Link" ProgID="Excel.Sheet.12" ShapeID="_x0000_i1096"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33DBE542" w:rsidR="006D4218" w:rsidRDefault="00EE0789">
            <w:pPr>
              <w:spacing w:line="4053" w:lineRule="exact"/>
              <w:jc w:val="both"/>
              <w:rPr>
                <w:rFonts w:eastAsia="宋体"/>
                <w:lang w:eastAsia="zh-CN"/>
              </w:rPr>
            </w:pPr>
            <w:r>
              <w:rPr>
                <w:noProof/>
                <w:snapToGrid/>
                <w:lang w:eastAsia="zh-CN"/>
              </w:rPr>
              <w:object w:dxaOrig="6915" w:dyaOrig="4320" w14:anchorId="185A71EB">
                <v:shape id="_x0000_i1103" type="#_x0000_t75" style="width:224.75pt;height:155.5pt" o:ole="">
                  <v:imagedata r:id="rId19" o:title=""/>
                </v:shape>
                <o:OLEObject Type="Link" ProgID="Excel.Sheet.12" ShapeID="_x0000_i1103"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5" w:dyaOrig="4320" w14:anchorId="02735971">
                <v:shape id="_x0000_i1097" type="#_x0000_t75" style="width:228.7pt;height:155.5pt" o:ole="">
                  <v:imagedata r:id="rId21" o:title=""/>
                </v:shape>
                <o:OLEObject Type="Link" ProgID="Excel.Sheet.12" ShapeID="_x0000_i1097"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3F98121F" w:rsidR="006D4218" w:rsidRDefault="00EE0789">
            <w:pPr>
              <w:spacing w:line="4053" w:lineRule="exact"/>
              <w:rPr>
                <w:rFonts w:eastAsia="宋体"/>
                <w:lang w:eastAsia="zh-CN"/>
              </w:rPr>
            </w:pPr>
            <w:r>
              <w:rPr>
                <w:noProof/>
                <w:snapToGrid/>
              </w:rPr>
              <w:object w:dxaOrig="7125" w:dyaOrig="4320" w14:anchorId="0FCA993C">
                <v:shape id="_x0000_i1098" type="#_x0000_t75" style="width:230.15pt;height:147.3pt" o:ole="">
                  <v:imagedata r:id="rId23" o:title=""/>
                </v:shape>
                <o:OLEObject Type="Link" ProgID="Excel.Sheet.12" ShapeID="_x0000_i1098"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0" w:dyaOrig="4320" w14:anchorId="6954D2E9">
                <v:shape id="_x0000_i1099" type="#_x0000_t75" style="width:226.8pt;height:147.3pt" o:ole="">
                  <v:imagedata r:id="rId25" o:title=""/>
                </v:shape>
                <o:OLEObject Type="Link" ProgID="Excel.Sheet.12" ShapeID="_x0000_i1099" DrawAspect="Content" r:id="rId26" UpdateMode="Always">
                  <o:LinkType>EnhancedMetaFile</o:LinkType>
                  <o:LockedField>false</o:LockedField>
                </o:OLEObject>
              </w:object>
            </w:r>
          </w:p>
        </w:tc>
      </w:tr>
      <w:tr w:rsidR="006D4218" w14:paraId="1F113141" w14:textId="77777777">
        <w:trPr>
          <w:trHeight w:val="4063"/>
        </w:trPr>
        <w:tc>
          <w:tcPr>
            <w:tcW w:w="9417" w:type="dxa"/>
          </w:tcPr>
          <w:p w14:paraId="401C7715" w14:textId="4BBF7943" w:rsidR="006D4218" w:rsidRDefault="00EE0789">
            <w:pPr>
              <w:spacing w:line="4053" w:lineRule="exact"/>
              <w:jc w:val="both"/>
              <w:rPr>
                <w:rFonts w:eastAsia="宋体"/>
                <w:lang w:eastAsia="zh-CN"/>
              </w:rPr>
            </w:pPr>
            <w:r>
              <w:rPr>
                <w:noProof/>
                <w:snapToGrid/>
                <w:lang w:eastAsia="zh-CN"/>
              </w:rPr>
              <w:object w:dxaOrig="6915" w:dyaOrig="4320" w14:anchorId="77B2E435">
                <v:shape id="_x0000_i1104" type="#_x0000_t75" style="width:227.5pt;height:154.2pt" o:ole="">
                  <v:imagedata r:id="rId27" o:title=""/>
                </v:shape>
                <o:OLEObject Type="Link" ProgID="Excel.Sheet.12" ShapeID="_x0000_i1104"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0" w:dyaOrig="4320" w14:anchorId="2D13B480">
                <v:shape id="_x0000_i1100" type="#_x0000_t75" style="width:224.8pt;height:154.2pt" o:ole="">
                  <v:imagedata r:id="rId29" o:title=""/>
                </v:shape>
                <o:OLEObject Type="Link" ProgID="Excel.Sheet.12" ShapeID="_x0000_i1100" DrawAspect="Content" r:id="rId30" UpdateMode="Always">
                  <o:LinkType>EnhancedMetaFile</o:LinkType>
                  <o:LockedField>false</o:LockedField>
                </o:OLEObject>
              </w:object>
            </w:r>
          </w:p>
        </w:tc>
      </w:tr>
      <w:tr w:rsidR="006D4218" w14:paraId="6E392C8A" w14:textId="77777777">
        <w:trPr>
          <w:trHeight w:val="4063"/>
        </w:trPr>
        <w:tc>
          <w:tcPr>
            <w:tcW w:w="9417" w:type="dxa"/>
          </w:tcPr>
          <w:p w14:paraId="719B4F2C" w14:textId="4B7064FB" w:rsidR="006D4218" w:rsidRDefault="00EE0789">
            <w:pPr>
              <w:spacing w:line="4053" w:lineRule="exact"/>
              <w:jc w:val="both"/>
              <w:rPr>
                <w:rFonts w:eastAsia="宋体"/>
                <w:sz w:val="20"/>
                <w:lang w:eastAsia="zh-CN"/>
              </w:rPr>
            </w:pPr>
            <w:r>
              <w:rPr>
                <w:rFonts w:eastAsia="宋体"/>
                <w:noProof/>
                <w:sz w:val="20"/>
                <w:lang w:eastAsia="zh-CN"/>
              </w:rPr>
              <w:object w:dxaOrig="6720" w:dyaOrig="4320" w14:anchorId="0AAA68B6">
                <v:shape id="_x0000_i1101" type="#_x0000_t75" style="width:230.15pt;height:148.6pt" o:ole="">
                  <v:imagedata r:id="rId31" o:title=""/>
                </v:shape>
                <o:OLEObject Type="Link" ProgID="Excel.Sheet.12" ShapeID="_x0000_i1101"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5" w:dyaOrig="4320" w14:anchorId="0F033819">
                <v:shape id="_x0000_i1102" type="#_x0000_t75" style="width:227.4pt;height:148.6pt" o:ole="">
                  <v:imagedata r:id="rId33" o:title=""/>
                </v:shape>
                <o:OLEObject Type="Link" ProgID="Excel.Sheet.12" ShapeID="_x0000_i1102"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EE0789"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2D19AEEB">
          <v:shape id="IM 50" o:spid="_x0000_i1037" type="#_x0000_t75" style="width:11.55pt;height:12.25pt;visibility:visible"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p w14:paraId="657AABBF" w14:textId="77777777" w:rsidR="00E43252" w:rsidRPr="00E43252"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tbl>
      <w:tblPr>
        <w:tblW w:w="10632" w:type="dxa"/>
        <w:tblLook w:val="04A0" w:firstRow="1" w:lastRow="0" w:firstColumn="1" w:lastColumn="0" w:noHBand="0" w:noVBand="1"/>
      </w:tblPr>
      <w:tblGrid>
        <w:gridCol w:w="2560"/>
        <w:gridCol w:w="1820"/>
        <w:gridCol w:w="6252"/>
      </w:tblGrid>
      <w:tr w:rsidR="00475B24" w:rsidRPr="00475B24" w14:paraId="21EA648B" w14:textId="77777777" w:rsidTr="00475B24">
        <w:trPr>
          <w:trHeight w:val="600"/>
        </w:trPr>
        <w:tc>
          <w:tcPr>
            <w:tcW w:w="4380" w:type="dxa"/>
            <w:gridSpan w:val="2"/>
            <w:tcBorders>
              <w:top w:val="nil"/>
              <w:left w:val="nil"/>
              <w:bottom w:val="nil"/>
              <w:right w:val="nil"/>
            </w:tcBorders>
            <w:shd w:val="clear" w:color="000000" w:fill="3D85C1"/>
            <w:vAlign w:val="center"/>
            <w:hideMark/>
          </w:tcPr>
          <w:p w14:paraId="73E7463A"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时间</w:t>
            </w:r>
          </w:p>
        </w:tc>
        <w:tc>
          <w:tcPr>
            <w:tcW w:w="6252" w:type="dxa"/>
            <w:tcBorders>
              <w:top w:val="nil"/>
              <w:left w:val="nil"/>
              <w:bottom w:val="nil"/>
              <w:right w:val="nil"/>
            </w:tcBorders>
            <w:shd w:val="clear" w:color="000000" w:fill="3D85C1"/>
            <w:vAlign w:val="center"/>
            <w:hideMark/>
          </w:tcPr>
          <w:p w14:paraId="0A7E14A3"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数据/事件</w:t>
            </w:r>
          </w:p>
        </w:tc>
      </w:tr>
      <w:tr w:rsidR="00475B24" w:rsidRPr="00475B24" w14:paraId="18920B77" w14:textId="77777777" w:rsidTr="00475B24">
        <w:trPr>
          <w:trHeight w:val="762"/>
        </w:trPr>
        <w:tc>
          <w:tcPr>
            <w:tcW w:w="2560" w:type="dxa"/>
            <w:tcBorders>
              <w:top w:val="nil"/>
              <w:left w:val="nil"/>
              <w:bottom w:val="nil"/>
              <w:right w:val="nil"/>
            </w:tcBorders>
            <w:vAlign w:val="center"/>
            <w:hideMark/>
          </w:tcPr>
          <w:p w14:paraId="381FEC3B"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2026/8/25</w:t>
            </w:r>
          </w:p>
        </w:tc>
        <w:tc>
          <w:tcPr>
            <w:tcW w:w="1820" w:type="dxa"/>
            <w:tcBorders>
              <w:top w:val="nil"/>
              <w:left w:val="nil"/>
              <w:bottom w:val="nil"/>
              <w:right w:val="nil"/>
            </w:tcBorders>
            <w:vAlign w:val="center"/>
            <w:hideMark/>
          </w:tcPr>
          <w:p w14:paraId="3BB67511"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13:00</w:t>
            </w:r>
          </w:p>
        </w:tc>
        <w:tc>
          <w:tcPr>
            <w:tcW w:w="6252" w:type="dxa"/>
            <w:tcBorders>
              <w:top w:val="nil"/>
              <w:left w:val="nil"/>
              <w:bottom w:val="nil"/>
              <w:right w:val="nil"/>
            </w:tcBorders>
            <w:vAlign w:val="center"/>
            <w:hideMark/>
          </w:tcPr>
          <w:p w14:paraId="61B5DAA6"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日本 6 月景气动向指数</w:t>
            </w:r>
          </w:p>
        </w:tc>
      </w:tr>
      <w:tr w:rsidR="00475B24" w:rsidRPr="00475B24" w14:paraId="4738A425" w14:textId="77777777" w:rsidTr="00475B24">
        <w:trPr>
          <w:trHeight w:val="762"/>
        </w:trPr>
        <w:tc>
          <w:tcPr>
            <w:tcW w:w="2560" w:type="dxa"/>
            <w:tcBorders>
              <w:top w:val="nil"/>
              <w:left w:val="nil"/>
              <w:bottom w:val="nil"/>
              <w:right w:val="nil"/>
            </w:tcBorders>
            <w:shd w:val="clear" w:color="000000" w:fill="D9E1F2"/>
            <w:vAlign w:val="center"/>
            <w:hideMark/>
          </w:tcPr>
          <w:p w14:paraId="35CEA30E"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2026/8/27</w:t>
            </w:r>
          </w:p>
        </w:tc>
        <w:tc>
          <w:tcPr>
            <w:tcW w:w="1820" w:type="dxa"/>
            <w:tcBorders>
              <w:top w:val="nil"/>
              <w:left w:val="nil"/>
              <w:bottom w:val="nil"/>
              <w:right w:val="nil"/>
            </w:tcBorders>
            <w:shd w:val="clear" w:color="000000" w:fill="D9E1F2"/>
            <w:vAlign w:val="center"/>
            <w:hideMark/>
          </w:tcPr>
          <w:p w14:paraId="53522D39"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20:30</w:t>
            </w:r>
          </w:p>
        </w:tc>
        <w:tc>
          <w:tcPr>
            <w:tcW w:w="6252" w:type="dxa"/>
            <w:tcBorders>
              <w:top w:val="nil"/>
              <w:left w:val="nil"/>
              <w:bottom w:val="nil"/>
              <w:right w:val="nil"/>
            </w:tcBorders>
            <w:shd w:val="clear" w:color="000000" w:fill="D9E1F2"/>
            <w:vAlign w:val="center"/>
            <w:hideMark/>
          </w:tcPr>
          <w:p w14:paraId="129DB515"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美国第二季度实际 GDP、7 月 PCE 物价指数</w:t>
            </w:r>
          </w:p>
        </w:tc>
      </w:tr>
      <w:tr w:rsidR="00475B24" w:rsidRPr="00475B24" w14:paraId="5C9BB72F" w14:textId="77777777" w:rsidTr="00475B24">
        <w:trPr>
          <w:trHeight w:val="880"/>
        </w:trPr>
        <w:tc>
          <w:tcPr>
            <w:tcW w:w="2560" w:type="dxa"/>
            <w:tcBorders>
              <w:top w:val="nil"/>
              <w:left w:val="nil"/>
              <w:bottom w:val="nil"/>
              <w:right w:val="nil"/>
            </w:tcBorders>
            <w:vAlign w:val="center"/>
            <w:hideMark/>
          </w:tcPr>
          <w:p w14:paraId="62FDFE26"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2026/8/27</w:t>
            </w:r>
          </w:p>
        </w:tc>
        <w:tc>
          <w:tcPr>
            <w:tcW w:w="1820" w:type="dxa"/>
            <w:tcBorders>
              <w:top w:val="nil"/>
              <w:left w:val="nil"/>
              <w:bottom w:val="nil"/>
              <w:right w:val="nil"/>
            </w:tcBorders>
            <w:vAlign w:val="center"/>
            <w:hideMark/>
          </w:tcPr>
          <w:p w14:paraId="450BE86C"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14:45</w:t>
            </w:r>
          </w:p>
        </w:tc>
        <w:tc>
          <w:tcPr>
            <w:tcW w:w="6252" w:type="dxa"/>
            <w:tcBorders>
              <w:top w:val="nil"/>
              <w:left w:val="nil"/>
              <w:bottom w:val="nil"/>
              <w:right w:val="nil"/>
            </w:tcBorders>
            <w:vAlign w:val="center"/>
            <w:hideMark/>
          </w:tcPr>
          <w:p w14:paraId="74E0514C"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法国 7 月 PPI</w:t>
            </w:r>
          </w:p>
        </w:tc>
      </w:tr>
      <w:tr w:rsidR="00475B24" w:rsidRPr="00475B24" w14:paraId="16FA1085" w14:textId="77777777" w:rsidTr="00475B24">
        <w:trPr>
          <w:trHeight w:val="762"/>
        </w:trPr>
        <w:tc>
          <w:tcPr>
            <w:tcW w:w="2560" w:type="dxa"/>
            <w:tcBorders>
              <w:top w:val="nil"/>
              <w:left w:val="nil"/>
              <w:bottom w:val="nil"/>
              <w:right w:val="nil"/>
            </w:tcBorders>
            <w:shd w:val="clear" w:color="000000" w:fill="D9E1F2"/>
            <w:vAlign w:val="center"/>
            <w:hideMark/>
          </w:tcPr>
          <w:p w14:paraId="5CCF798A"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2026/8/27</w:t>
            </w:r>
          </w:p>
        </w:tc>
        <w:tc>
          <w:tcPr>
            <w:tcW w:w="1820" w:type="dxa"/>
            <w:tcBorders>
              <w:top w:val="nil"/>
              <w:left w:val="nil"/>
              <w:bottom w:val="nil"/>
              <w:right w:val="nil"/>
            </w:tcBorders>
            <w:shd w:val="clear" w:color="000000" w:fill="D9E1F2"/>
            <w:vAlign w:val="center"/>
            <w:hideMark/>
          </w:tcPr>
          <w:p w14:paraId="1E767974"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16:00</w:t>
            </w:r>
          </w:p>
        </w:tc>
        <w:tc>
          <w:tcPr>
            <w:tcW w:w="6252" w:type="dxa"/>
            <w:tcBorders>
              <w:top w:val="nil"/>
              <w:left w:val="nil"/>
              <w:bottom w:val="nil"/>
              <w:right w:val="nil"/>
            </w:tcBorders>
            <w:shd w:val="clear" w:color="000000" w:fill="D9E1F2"/>
            <w:vAlign w:val="center"/>
            <w:hideMark/>
          </w:tcPr>
          <w:p w14:paraId="421E1435"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欧盟 7 月欧元区 M1、M2</w:t>
            </w:r>
          </w:p>
        </w:tc>
      </w:tr>
      <w:tr w:rsidR="00475B24" w:rsidRPr="00475B24" w14:paraId="2B7D454E" w14:textId="77777777" w:rsidTr="00475B24">
        <w:trPr>
          <w:trHeight w:val="620"/>
        </w:trPr>
        <w:tc>
          <w:tcPr>
            <w:tcW w:w="2560" w:type="dxa"/>
            <w:tcBorders>
              <w:top w:val="nil"/>
              <w:left w:val="nil"/>
              <w:bottom w:val="nil"/>
              <w:right w:val="nil"/>
            </w:tcBorders>
            <w:vAlign w:val="center"/>
            <w:hideMark/>
          </w:tcPr>
          <w:p w14:paraId="12587AF0"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2026/8/27</w:t>
            </w:r>
          </w:p>
        </w:tc>
        <w:tc>
          <w:tcPr>
            <w:tcW w:w="1820" w:type="dxa"/>
            <w:tcBorders>
              <w:top w:val="nil"/>
              <w:left w:val="nil"/>
              <w:bottom w:val="nil"/>
              <w:right w:val="nil"/>
            </w:tcBorders>
            <w:vAlign w:val="center"/>
            <w:hideMark/>
          </w:tcPr>
          <w:p w14:paraId="6770FAA3"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20:30</w:t>
            </w:r>
          </w:p>
        </w:tc>
        <w:tc>
          <w:tcPr>
            <w:tcW w:w="6252" w:type="dxa"/>
            <w:tcBorders>
              <w:top w:val="nil"/>
              <w:left w:val="nil"/>
              <w:bottom w:val="nil"/>
              <w:right w:val="nil"/>
            </w:tcBorders>
            <w:vAlign w:val="center"/>
            <w:hideMark/>
          </w:tcPr>
          <w:p w14:paraId="744C3AEB"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美国上周初请失业金人数</w:t>
            </w:r>
          </w:p>
        </w:tc>
      </w:tr>
      <w:tr w:rsidR="00475B24" w:rsidRPr="00475B24" w14:paraId="5AE5F0D3" w14:textId="77777777" w:rsidTr="00475B24">
        <w:trPr>
          <w:trHeight w:val="620"/>
        </w:trPr>
        <w:tc>
          <w:tcPr>
            <w:tcW w:w="2560" w:type="dxa"/>
            <w:tcBorders>
              <w:top w:val="nil"/>
              <w:left w:val="nil"/>
              <w:bottom w:val="nil"/>
              <w:right w:val="nil"/>
            </w:tcBorders>
            <w:shd w:val="clear" w:color="000000" w:fill="D9E1F2"/>
            <w:vAlign w:val="center"/>
            <w:hideMark/>
          </w:tcPr>
          <w:p w14:paraId="7FD88598"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lastRenderedPageBreak/>
              <w:t>2026/8/28</w:t>
            </w:r>
          </w:p>
        </w:tc>
        <w:tc>
          <w:tcPr>
            <w:tcW w:w="1820" w:type="dxa"/>
            <w:tcBorders>
              <w:top w:val="nil"/>
              <w:left w:val="nil"/>
              <w:bottom w:val="nil"/>
              <w:right w:val="nil"/>
            </w:tcBorders>
            <w:shd w:val="clear" w:color="000000" w:fill="D9E1F2"/>
            <w:vAlign w:val="center"/>
            <w:hideMark/>
          </w:tcPr>
          <w:p w14:paraId="308A0444"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7:30</w:t>
            </w:r>
          </w:p>
        </w:tc>
        <w:tc>
          <w:tcPr>
            <w:tcW w:w="6252" w:type="dxa"/>
            <w:tcBorders>
              <w:top w:val="nil"/>
              <w:left w:val="nil"/>
              <w:bottom w:val="nil"/>
              <w:right w:val="nil"/>
            </w:tcBorders>
            <w:shd w:val="clear" w:color="000000" w:fill="D9E1F2"/>
            <w:vAlign w:val="center"/>
            <w:hideMark/>
          </w:tcPr>
          <w:p w14:paraId="39D27BD8"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日本 7 月失业率</w:t>
            </w:r>
          </w:p>
        </w:tc>
      </w:tr>
      <w:tr w:rsidR="00475B24" w:rsidRPr="00475B24" w14:paraId="1941C70F" w14:textId="77777777" w:rsidTr="00475B24">
        <w:trPr>
          <w:trHeight w:val="762"/>
        </w:trPr>
        <w:tc>
          <w:tcPr>
            <w:tcW w:w="2560" w:type="dxa"/>
            <w:tcBorders>
              <w:top w:val="nil"/>
              <w:left w:val="nil"/>
              <w:bottom w:val="nil"/>
              <w:right w:val="nil"/>
            </w:tcBorders>
            <w:vAlign w:val="center"/>
            <w:hideMark/>
          </w:tcPr>
          <w:p w14:paraId="4254A2F2"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2026/8/28</w:t>
            </w:r>
          </w:p>
        </w:tc>
        <w:tc>
          <w:tcPr>
            <w:tcW w:w="1820" w:type="dxa"/>
            <w:tcBorders>
              <w:top w:val="nil"/>
              <w:left w:val="nil"/>
              <w:bottom w:val="nil"/>
              <w:right w:val="nil"/>
            </w:tcBorders>
            <w:vAlign w:val="center"/>
            <w:hideMark/>
          </w:tcPr>
          <w:p w14:paraId="43FC0504"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14:45</w:t>
            </w:r>
          </w:p>
        </w:tc>
        <w:tc>
          <w:tcPr>
            <w:tcW w:w="6252" w:type="dxa"/>
            <w:tcBorders>
              <w:top w:val="nil"/>
              <w:left w:val="nil"/>
              <w:bottom w:val="nil"/>
              <w:right w:val="nil"/>
            </w:tcBorders>
            <w:vAlign w:val="center"/>
            <w:hideMark/>
          </w:tcPr>
          <w:p w14:paraId="365941E5"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法国第二季度 GDP</w:t>
            </w:r>
          </w:p>
        </w:tc>
      </w:tr>
      <w:tr w:rsidR="00475B24" w:rsidRPr="00475B24" w14:paraId="2558E56F" w14:textId="77777777" w:rsidTr="00475B24">
        <w:trPr>
          <w:trHeight w:val="659"/>
        </w:trPr>
        <w:tc>
          <w:tcPr>
            <w:tcW w:w="2560" w:type="dxa"/>
            <w:tcBorders>
              <w:top w:val="nil"/>
              <w:left w:val="nil"/>
              <w:bottom w:val="nil"/>
              <w:right w:val="nil"/>
            </w:tcBorders>
            <w:shd w:val="clear" w:color="000000" w:fill="D9E1F2"/>
            <w:vAlign w:val="center"/>
            <w:hideMark/>
          </w:tcPr>
          <w:p w14:paraId="0B7E4E43"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2026/8/28</w:t>
            </w:r>
          </w:p>
        </w:tc>
        <w:tc>
          <w:tcPr>
            <w:tcW w:w="1820" w:type="dxa"/>
            <w:tcBorders>
              <w:top w:val="nil"/>
              <w:left w:val="nil"/>
              <w:bottom w:val="nil"/>
              <w:right w:val="nil"/>
            </w:tcBorders>
            <w:shd w:val="clear" w:color="000000" w:fill="D9E1F2"/>
            <w:vAlign w:val="center"/>
            <w:hideMark/>
          </w:tcPr>
          <w:p w14:paraId="078D2295"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21:45</w:t>
            </w:r>
          </w:p>
        </w:tc>
        <w:tc>
          <w:tcPr>
            <w:tcW w:w="6252" w:type="dxa"/>
            <w:tcBorders>
              <w:top w:val="nil"/>
              <w:left w:val="nil"/>
              <w:bottom w:val="nil"/>
              <w:right w:val="nil"/>
            </w:tcBorders>
            <w:shd w:val="clear" w:color="000000" w:fill="D9E1F2"/>
            <w:vAlign w:val="center"/>
            <w:hideMark/>
          </w:tcPr>
          <w:p w14:paraId="4C74511F" w14:textId="77777777" w:rsidR="00475B24" w:rsidRPr="00475B24" w:rsidRDefault="00475B24" w:rsidP="00475B24">
            <w:pPr>
              <w:kinsoku/>
              <w:autoSpaceDE/>
              <w:autoSpaceDN/>
              <w:adjustRightInd/>
              <w:snapToGrid/>
              <w:jc w:val="center"/>
              <w:textAlignment w:val="auto"/>
              <w:rPr>
                <w:rFonts w:ascii="微软雅黑" w:eastAsia="微软雅黑" w:hAnsi="微软雅黑" w:cs="宋体"/>
                <w:b/>
                <w:bCs/>
                <w:snapToGrid/>
                <w:sz w:val="19"/>
                <w:szCs w:val="19"/>
                <w:lang w:eastAsia="zh-CN"/>
              </w:rPr>
            </w:pPr>
            <w:r w:rsidRPr="00475B24">
              <w:rPr>
                <w:rFonts w:ascii="微软雅黑" w:eastAsia="微软雅黑" w:hAnsi="微软雅黑" w:cs="宋体"/>
                <w:b/>
                <w:bCs/>
                <w:snapToGrid/>
                <w:sz w:val="19"/>
                <w:szCs w:val="19"/>
                <w:lang w:eastAsia="zh-CN"/>
              </w:rPr>
              <w:t>美国 8 月芝加哥 PMI</w:t>
            </w:r>
          </w:p>
        </w:tc>
      </w:tr>
    </w:tbl>
    <w:p w14:paraId="7EEB015E" w14:textId="77777777" w:rsidR="00267DDF" w:rsidRPr="00E35101" w:rsidRDefault="00267DDF" w:rsidP="0098789F">
      <w:pPr>
        <w:pStyle w:val="TableText"/>
        <w:spacing w:before="221" w:line="180" w:lineRule="auto"/>
        <w:rPr>
          <w:rFonts w:hint="eastAsia"/>
          <w:b/>
          <w:bCs/>
          <w:sz w:val="19"/>
          <w:szCs w:val="19"/>
          <w:lang w:eastAsia="zh-CN"/>
        </w:rPr>
      </w:pPr>
    </w:p>
    <w:p w14:paraId="0CFFE9D4" w14:textId="77777777" w:rsidR="00E35101" w:rsidRPr="004E3CEF" w:rsidRDefault="00E35101"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B507" w14:textId="77777777" w:rsidR="00B23E2D" w:rsidRDefault="00B23E2D">
      <w:r>
        <w:separator/>
      </w:r>
    </w:p>
  </w:endnote>
  <w:endnote w:type="continuationSeparator" w:id="0">
    <w:p w14:paraId="078D00C4" w14:textId="77777777" w:rsidR="00B23E2D" w:rsidRDefault="00B23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50EA8" w14:textId="77777777" w:rsidR="00B23E2D" w:rsidRDefault="00B23E2D">
      <w:r>
        <w:separator/>
      </w:r>
    </w:p>
  </w:footnote>
  <w:footnote w:type="continuationSeparator" w:id="0">
    <w:p w14:paraId="132DC321" w14:textId="77777777" w:rsidR="00B23E2D" w:rsidRDefault="00B23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336975656"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 o:bullet="t">
        <v:imagedata r:id="rId1" o:title=""/>
      </v:shape>
    </w:pict>
  </w:numPicBullet>
  <w:numPicBullet w:numPicBulletId="1">
    <w:pict>
      <v:shape id="_x0000_i1026" type="#_x0000_t75" style="width:10.5pt;height:14.25pt;visibility:visibl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activeWritingStyle w:appName="MSWord" w:lang="zh-CN" w:vendorID="64" w:dllVersion="4096" w:nlCheck="1" w:checkStyle="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1A7C"/>
    <w:rsid w:val="00024481"/>
    <w:rsid w:val="00025950"/>
    <w:rsid w:val="000266A9"/>
    <w:rsid w:val="00032596"/>
    <w:rsid w:val="0003365D"/>
    <w:rsid w:val="000337B6"/>
    <w:rsid w:val="000349D0"/>
    <w:rsid w:val="000358BC"/>
    <w:rsid w:val="00037BAD"/>
    <w:rsid w:val="00043EDF"/>
    <w:rsid w:val="00046ED4"/>
    <w:rsid w:val="00047D81"/>
    <w:rsid w:val="00050041"/>
    <w:rsid w:val="000516B8"/>
    <w:rsid w:val="00052413"/>
    <w:rsid w:val="000529DF"/>
    <w:rsid w:val="000537D3"/>
    <w:rsid w:val="000544EE"/>
    <w:rsid w:val="00054D5B"/>
    <w:rsid w:val="0005640A"/>
    <w:rsid w:val="000570BD"/>
    <w:rsid w:val="00061B45"/>
    <w:rsid w:val="00070087"/>
    <w:rsid w:val="00071D34"/>
    <w:rsid w:val="000728E1"/>
    <w:rsid w:val="00073FC7"/>
    <w:rsid w:val="0008062E"/>
    <w:rsid w:val="000812AE"/>
    <w:rsid w:val="0008188F"/>
    <w:rsid w:val="00082F7B"/>
    <w:rsid w:val="00083176"/>
    <w:rsid w:val="00084DA4"/>
    <w:rsid w:val="00086C67"/>
    <w:rsid w:val="00090CEA"/>
    <w:rsid w:val="00091CF1"/>
    <w:rsid w:val="000955F5"/>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24B"/>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6FC5"/>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41C6"/>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D5672"/>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149CC"/>
    <w:rsid w:val="00320BF2"/>
    <w:rsid w:val="00326289"/>
    <w:rsid w:val="0033056E"/>
    <w:rsid w:val="00333F33"/>
    <w:rsid w:val="00334D6B"/>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2743"/>
    <w:rsid w:val="003A31F4"/>
    <w:rsid w:val="003A41B1"/>
    <w:rsid w:val="003A7C7D"/>
    <w:rsid w:val="003A7CA1"/>
    <w:rsid w:val="003B3A09"/>
    <w:rsid w:val="003B490B"/>
    <w:rsid w:val="003B5FE5"/>
    <w:rsid w:val="003C17C2"/>
    <w:rsid w:val="003C3841"/>
    <w:rsid w:val="003C6A62"/>
    <w:rsid w:val="003C7875"/>
    <w:rsid w:val="003D1566"/>
    <w:rsid w:val="003D4488"/>
    <w:rsid w:val="003D6878"/>
    <w:rsid w:val="003E0237"/>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B1E"/>
    <w:rsid w:val="00412A30"/>
    <w:rsid w:val="0041523D"/>
    <w:rsid w:val="0041706C"/>
    <w:rsid w:val="00421CCB"/>
    <w:rsid w:val="0042281D"/>
    <w:rsid w:val="00426807"/>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29F"/>
    <w:rsid w:val="004654E4"/>
    <w:rsid w:val="00465D93"/>
    <w:rsid w:val="00465FC0"/>
    <w:rsid w:val="004726FD"/>
    <w:rsid w:val="00472DE0"/>
    <w:rsid w:val="0047421F"/>
    <w:rsid w:val="00475394"/>
    <w:rsid w:val="00475B24"/>
    <w:rsid w:val="00476925"/>
    <w:rsid w:val="00482668"/>
    <w:rsid w:val="00482AFC"/>
    <w:rsid w:val="00483509"/>
    <w:rsid w:val="004859EC"/>
    <w:rsid w:val="00485E77"/>
    <w:rsid w:val="004862D2"/>
    <w:rsid w:val="00487B1D"/>
    <w:rsid w:val="004910DC"/>
    <w:rsid w:val="00494990"/>
    <w:rsid w:val="004A09B7"/>
    <w:rsid w:val="004A106C"/>
    <w:rsid w:val="004A4AF5"/>
    <w:rsid w:val="004A576F"/>
    <w:rsid w:val="004B2BA7"/>
    <w:rsid w:val="004B3A09"/>
    <w:rsid w:val="004B3ACA"/>
    <w:rsid w:val="004B4D03"/>
    <w:rsid w:val="004B6B43"/>
    <w:rsid w:val="004B7178"/>
    <w:rsid w:val="004B72A2"/>
    <w:rsid w:val="004B77E9"/>
    <w:rsid w:val="004C3444"/>
    <w:rsid w:val="004C37EB"/>
    <w:rsid w:val="004C5DD7"/>
    <w:rsid w:val="004C5F6A"/>
    <w:rsid w:val="004D0635"/>
    <w:rsid w:val="004D0DE1"/>
    <w:rsid w:val="004D1917"/>
    <w:rsid w:val="004D5F86"/>
    <w:rsid w:val="004D6C4A"/>
    <w:rsid w:val="004E13EF"/>
    <w:rsid w:val="004E1793"/>
    <w:rsid w:val="004E38AB"/>
    <w:rsid w:val="004E3995"/>
    <w:rsid w:val="004E3CEF"/>
    <w:rsid w:val="004E4AD6"/>
    <w:rsid w:val="004F0F6E"/>
    <w:rsid w:val="004F1D52"/>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C4C"/>
    <w:rsid w:val="005A0B8A"/>
    <w:rsid w:val="005A398B"/>
    <w:rsid w:val="005A4BD8"/>
    <w:rsid w:val="005A6C57"/>
    <w:rsid w:val="005C0B3E"/>
    <w:rsid w:val="005C1405"/>
    <w:rsid w:val="005C6E4D"/>
    <w:rsid w:val="005D24AB"/>
    <w:rsid w:val="005D2924"/>
    <w:rsid w:val="005D3DA0"/>
    <w:rsid w:val="005D5879"/>
    <w:rsid w:val="005E008C"/>
    <w:rsid w:val="005E5AA7"/>
    <w:rsid w:val="005F32AB"/>
    <w:rsid w:val="005F36C6"/>
    <w:rsid w:val="005F60E4"/>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A4A36"/>
    <w:rsid w:val="006B22BE"/>
    <w:rsid w:val="006B77CA"/>
    <w:rsid w:val="006C4893"/>
    <w:rsid w:val="006C5173"/>
    <w:rsid w:val="006C7D01"/>
    <w:rsid w:val="006D3C63"/>
    <w:rsid w:val="006D4218"/>
    <w:rsid w:val="006D4482"/>
    <w:rsid w:val="006D478D"/>
    <w:rsid w:val="006D627F"/>
    <w:rsid w:val="006D636C"/>
    <w:rsid w:val="006D6B7B"/>
    <w:rsid w:val="006D717D"/>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E5A"/>
    <w:rsid w:val="00745096"/>
    <w:rsid w:val="00751493"/>
    <w:rsid w:val="00754197"/>
    <w:rsid w:val="00756259"/>
    <w:rsid w:val="00757FF1"/>
    <w:rsid w:val="00761A64"/>
    <w:rsid w:val="007640D6"/>
    <w:rsid w:val="0076666A"/>
    <w:rsid w:val="007701B0"/>
    <w:rsid w:val="00774A20"/>
    <w:rsid w:val="00777176"/>
    <w:rsid w:val="00780500"/>
    <w:rsid w:val="007826D5"/>
    <w:rsid w:val="007853C1"/>
    <w:rsid w:val="00792165"/>
    <w:rsid w:val="00795476"/>
    <w:rsid w:val="007A4F04"/>
    <w:rsid w:val="007A5D96"/>
    <w:rsid w:val="007A723B"/>
    <w:rsid w:val="007A73D2"/>
    <w:rsid w:val="007A7575"/>
    <w:rsid w:val="007B4E4F"/>
    <w:rsid w:val="007B5E25"/>
    <w:rsid w:val="007C1678"/>
    <w:rsid w:val="007C5006"/>
    <w:rsid w:val="007C7EB5"/>
    <w:rsid w:val="007D2B08"/>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919"/>
    <w:rsid w:val="00825DF9"/>
    <w:rsid w:val="00826CA3"/>
    <w:rsid w:val="00827530"/>
    <w:rsid w:val="00833CC2"/>
    <w:rsid w:val="00835A2B"/>
    <w:rsid w:val="00836092"/>
    <w:rsid w:val="00836284"/>
    <w:rsid w:val="0084308B"/>
    <w:rsid w:val="00843651"/>
    <w:rsid w:val="008451E8"/>
    <w:rsid w:val="00845C49"/>
    <w:rsid w:val="00855FE4"/>
    <w:rsid w:val="0086024B"/>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208F"/>
    <w:rsid w:val="009C3202"/>
    <w:rsid w:val="009C600A"/>
    <w:rsid w:val="009C7E2F"/>
    <w:rsid w:val="009D048E"/>
    <w:rsid w:val="009D415B"/>
    <w:rsid w:val="009D7722"/>
    <w:rsid w:val="009E1477"/>
    <w:rsid w:val="009E3570"/>
    <w:rsid w:val="009E7C92"/>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2D"/>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1D3C"/>
    <w:rsid w:val="00BA3763"/>
    <w:rsid w:val="00BA4660"/>
    <w:rsid w:val="00BA502A"/>
    <w:rsid w:val="00BB1A67"/>
    <w:rsid w:val="00BB395A"/>
    <w:rsid w:val="00BB3C74"/>
    <w:rsid w:val="00BB483B"/>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268B"/>
    <w:rsid w:val="00D450EA"/>
    <w:rsid w:val="00D451D8"/>
    <w:rsid w:val="00D5065E"/>
    <w:rsid w:val="00D50693"/>
    <w:rsid w:val="00D51B04"/>
    <w:rsid w:val="00D52260"/>
    <w:rsid w:val="00D55E02"/>
    <w:rsid w:val="00D6151C"/>
    <w:rsid w:val="00D61DB5"/>
    <w:rsid w:val="00D62374"/>
    <w:rsid w:val="00D64029"/>
    <w:rsid w:val="00D64A5B"/>
    <w:rsid w:val="00D70107"/>
    <w:rsid w:val="00D7060F"/>
    <w:rsid w:val="00D714BC"/>
    <w:rsid w:val="00D72AD3"/>
    <w:rsid w:val="00D7386E"/>
    <w:rsid w:val="00D80863"/>
    <w:rsid w:val="00D811A5"/>
    <w:rsid w:val="00D82C69"/>
    <w:rsid w:val="00D95B25"/>
    <w:rsid w:val="00D960B9"/>
    <w:rsid w:val="00D961BA"/>
    <w:rsid w:val="00DA3BCD"/>
    <w:rsid w:val="00DB32AD"/>
    <w:rsid w:val="00DB66E4"/>
    <w:rsid w:val="00DB7E86"/>
    <w:rsid w:val="00DC1174"/>
    <w:rsid w:val="00DC33B3"/>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3B71"/>
    <w:rsid w:val="00E073FC"/>
    <w:rsid w:val="00E13EA0"/>
    <w:rsid w:val="00E2332E"/>
    <w:rsid w:val="00E245C6"/>
    <w:rsid w:val="00E255D8"/>
    <w:rsid w:val="00E327E9"/>
    <w:rsid w:val="00E333A4"/>
    <w:rsid w:val="00E35101"/>
    <w:rsid w:val="00E37E26"/>
    <w:rsid w:val="00E40799"/>
    <w:rsid w:val="00E41458"/>
    <w:rsid w:val="00E42257"/>
    <w:rsid w:val="00E42547"/>
    <w:rsid w:val="00E425B8"/>
    <w:rsid w:val="00E43252"/>
    <w:rsid w:val="00E43E2B"/>
    <w:rsid w:val="00E460AB"/>
    <w:rsid w:val="00E463E0"/>
    <w:rsid w:val="00E549D3"/>
    <w:rsid w:val="00E556A6"/>
    <w:rsid w:val="00E60A41"/>
    <w:rsid w:val="00E61B26"/>
    <w:rsid w:val="00E61E7F"/>
    <w:rsid w:val="00E62366"/>
    <w:rsid w:val="00E62C26"/>
    <w:rsid w:val="00E63E1E"/>
    <w:rsid w:val="00E7130B"/>
    <w:rsid w:val="00E7190A"/>
    <w:rsid w:val="00E73FC8"/>
    <w:rsid w:val="00E75393"/>
    <w:rsid w:val="00E75ABF"/>
    <w:rsid w:val="00E7776E"/>
    <w:rsid w:val="00E854A1"/>
    <w:rsid w:val="00E85F6C"/>
    <w:rsid w:val="00E8616C"/>
    <w:rsid w:val="00E901F3"/>
    <w:rsid w:val="00E92030"/>
    <w:rsid w:val="00E9390C"/>
    <w:rsid w:val="00E94FB1"/>
    <w:rsid w:val="00E967F2"/>
    <w:rsid w:val="00EA0010"/>
    <w:rsid w:val="00EA0FC0"/>
    <w:rsid w:val="00EA1265"/>
    <w:rsid w:val="00EB09FD"/>
    <w:rsid w:val="00EB2595"/>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0789"/>
    <w:rsid w:val="00EE1FAA"/>
    <w:rsid w:val="00EE413D"/>
    <w:rsid w:val="00EE4CFE"/>
    <w:rsid w:val="00EE4F07"/>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253"/>
    <w:rsid w:val="00F31F23"/>
    <w:rsid w:val="00F3446B"/>
    <w:rsid w:val="00F35115"/>
    <w:rsid w:val="00F37B52"/>
    <w:rsid w:val="00F45541"/>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82B76"/>
    <w:rsid w:val="00F9065B"/>
    <w:rsid w:val="00F91D22"/>
    <w:rsid w:val="00F93DB5"/>
    <w:rsid w:val="00F96617"/>
    <w:rsid w:val="00F97777"/>
    <w:rsid w:val="00F97D10"/>
    <w:rsid w:val="00FA2CEE"/>
    <w:rsid w:val="00FA2EB3"/>
    <w:rsid w:val="00FA680D"/>
    <w:rsid w:val="00FA6833"/>
    <w:rsid w:val="00FB3A6E"/>
    <w:rsid w:val="00FB4FEF"/>
    <w:rsid w:val="00FB522C"/>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1AEA016A-5B14-4701-A8C6-321E923A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1147</Words>
  <Characters>6541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WPS_1180513195</dc:creator>
  <cp:keywords/>
  <dc:description/>
  <cp:lastModifiedBy>陈伊霖</cp:lastModifiedBy>
  <cp:revision>2</cp:revision>
  <dcterms:created xsi:type="dcterms:W3CDTF">2026-08-24T01:27:00Z</dcterms:created>
  <dcterms:modified xsi:type="dcterms:W3CDTF">2026-08-24T01:27:00Z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